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B4A8BE" w14:textId="77777777" w:rsidR="000C14B6" w:rsidRPr="000C14B6" w:rsidRDefault="000C14B6" w:rsidP="000C14B6">
      <w:r w:rsidRPr="000C14B6">
        <w:t>2. Środowiska wirtualne</w:t>
      </w:r>
    </w:p>
    <w:p w14:paraId="0ABA3819" w14:textId="77777777" w:rsidR="000C14B6" w:rsidRPr="000C14B6" w:rsidRDefault="000C14B6" w:rsidP="000C14B6">
      <w:r w:rsidRPr="000C14B6">
        <w:t xml:space="preserve">Środowisko wirtualne (ang. </w:t>
      </w:r>
      <w:r w:rsidRPr="000C14B6">
        <w:rPr>
          <w:b/>
          <w:bCs/>
        </w:rPr>
        <w:t>Virtual Environments</w:t>
      </w:r>
      <w:r w:rsidRPr="000C14B6">
        <w:t>, VE) to oprogramowanie symulujące działanie sprzętu komputerowego. W odróżnieniu od tradycyjnych systemów fizycznych umożliwia ono jednoczesne funkcjonowanie wielu niezależnych systemów operacyjnych lub aplikacji na jednej maszynie [1]. Działają one niezależnie od fizycznej struktury sprzętu. Tworzenie środowisk wirtualnych możliwe jest dzięki wykorzystaniu technologii wirtualizacji. Jest to technologia, wykorzystująca  środowisko logiczne do przekroczenia fizycznych ograniczeń sprzętowych [2].</w:t>
      </w:r>
    </w:p>
    <w:p w14:paraId="2506DDF8" w14:textId="77777777" w:rsidR="000C14B6" w:rsidRPr="000C14B6" w:rsidRDefault="000C14B6" w:rsidP="000C14B6">
      <w:r w:rsidRPr="000C14B6">
        <w:t xml:space="preserve">Podstawowym elementem środowisk wirtualnych jest maszyna wirtualna (ang. </w:t>
      </w:r>
      <w:r w:rsidRPr="000C14B6">
        <w:rPr>
          <w:b/>
          <w:bCs/>
        </w:rPr>
        <w:t>Virtual Machine</w:t>
      </w:r>
      <w:r w:rsidRPr="000C14B6">
        <w:t xml:space="preserve">, VM). Jest to aplikacja, wykonujące program tak, jakby była fizycznym urządzeniem, więc można byłoby powiedzieć, że jest to „komputer”, działający wewnątrz fizycznego komputera. Aplikacja VM (nazywana „gościem”) uruchamia swój własny system operacyjny na rzeczywistej maszynie (zwanej „gospodarzem”). Wirtualny system operacyjny może być dowolny, np. Windows lub MacOS, i nie jest ograniczony do jednego systemu operacyjnego na maszynie gospodarza [3]. Każda maszyna wirtualna działa niezależnie i nie ma wpływu na działanie innych VM-ów. </w:t>
      </w:r>
    </w:p>
    <w:p w14:paraId="137E371F" w14:textId="77777777" w:rsidR="000C14B6" w:rsidRPr="000C14B6" w:rsidRDefault="000C14B6" w:rsidP="000C14B6"/>
    <w:p w14:paraId="6C156827" w14:textId="77777777" w:rsidR="000C14B6" w:rsidRPr="000C14B6" w:rsidRDefault="000C14B6" w:rsidP="000C14B6">
      <w:r w:rsidRPr="000C14B6">
        <w:t>2.1. Charakterystyka wirtualizacji</w:t>
      </w:r>
    </w:p>
    <w:p w14:paraId="0C499818" w14:textId="77777777" w:rsidR="000C14B6" w:rsidRPr="000C14B6" w:rsidRDefault="000C14B6" w:rsidP="000C14B6">
      <w:r w:rsidRPr="000C14B6">
        <w:t>Wirtualizacja to technologia umożliwiająca tworzenie wielu odizolowanych środowisk komputerowych – zwanych maszynami wirtualnymi (VM) – na jednym fizycznym urządzeniu. Dzięki warstwie pośredniczącej, zwanej hipernadzorcą (</w:t>
      </w:r>
      <w:r w:rsidRPr="000C14B6">
        <w:rPr>
          <w:b/>
          <w:bCs/>
        </w:rPr>
        <w:t>hypervisor</w:t>
      </w:r>
      <w:r w:rsidRPr="000C14B6">
        <w:t>), każda maszyna wirtualna może działać jak odrębny komputer z własnym systemem operacyjnym i aplikacjami, niezależnie od innych instancji. To podejście pozwala na efektywne wykorzystanie zasobów sprzętowych, zwiększenie skalowalności, uproszczenie zarządzania oraz ograniczenie kosztów operacyjnych [4].</w:t>
      </w:r>
    </w:p>
    <w:p w14:paraId="7E5C8C95" w14:textId="77777777" w:rsidR="000C14B6" w:rsidRPr="000C14B6" w:rsidRDefault="000C14B6" w:rsidP="000C14B6">
      <w:r w:rsidRPr="000C14B6">
        <w:t>Hipernadzorca (hypervisor) to oprogramowanie, które umożliwia tworzenie i zarządzanie maszynami wirtualnymi poprzez oddzielenie systemów operacyjnych gości od fizycznej infrastruktury sprzętowej. W zależności od sposobu działania, wyróżniamy dwa główne typy:</w:t>
      </w:r>
    </w:p>
    <w:p w14:paraId="3F8A355A" w14:textId="58225ED1" w:rsidR="000C14B6" w:rsidRPr="000C14B6" w:rsidRDefault="00E141B6" w:rsidP="000C14B6">
      <w:pPr>
        <w:numPr>
          <w:ilvl w:val="0"/>
          <w:numId w:val="2"/>
        </w:numPr>
      </w:pPr>
      <w:r>
        <w:t xml:space="preserve">typ 1: </w:t>
      </w:r>
      <w:r w:rsidR="000C14B6" w:rsidRPr="000C14B6">
        <w:t>natywny (</w:t>
      </w:r>
      <w:proofErr w:type="spellStart"/>
      <w:r w:rsidR="000C14B6" w:rsidRPr="000C14B6">
        <w:t>bare</w:t>
      </w:r>
      <w:proofErr w:type="spellEnd"/>
      <w:r w:rsidR="000C14B6" w:rsidRPr="000C14B6">
        <w:t>-metal) – działa bezpośrednio na sprzęcie, bez potrzeby instalowania systemu operacyjnego gospodarza. Przykładowo: Microsoft Hyper-V,</w:t>
      </w:r>
    </w:p>
    <w:p w14:paraId="342D9609" w14:textId="3F41239F" w:rsidR="000C14B6" w:rsidRPr="000C14B6" w:rsidRDefault="00E141B6" w:rsidP="000C14B6">
      <w:pPr>
        <w:numPr>
          <w:ilvl w:val="0"/>
          <w:numId w:val="2"/>
        </w:numPr>
      </w:pPr>
      <w:r>
        <w:t xml:space="preserve">typ 2: </w:t>
      </w:r>
      <w:r w:rsidR="000C14B6" w:rsidRPr="000C14B6">
        <w:t xml:space="preserve">hostowany – funkcjonuje jako aplikacja zainstalowana w ramach istniejącego systemu operacyjnego. Przykładowo: VirtualBox, VMware Workstation. </w:t>
      </w:r>
    </w:p>
    <w:p w14:paraId="53E1B707" w14:textId="77777777" w:rsidR="000C14B6" w:rsidRPr="000C14B6" w:rsidRDefault="000C14B6" w:rsidP="000C14B6">
      <w:r w:rsidRPr="000C14B6">
        <w:t>Dodatkowo, hypervisory można klasyfikować ze względu na sposób wirtualizacji:</w:t>
      </w:r>
    </w:p>
    <w:p w14:paraId="153766A1" w14:textId="77777777" w:rsidR="000C14B6" w:rsidRPr="000C14B6" w:rsidRDefault="000C14B6" w:rsidP="000C14B6">
      <w:pPr>
        <w:numPr>
          <w:ilvl w:val="0"/>
          <w:numId w:val="3"/>
        </w:numPr>
      </w:pPr>
      <w:r w:rsidRPr="000C14B6">
        <w:t>Pełna wirtualizacja – system gościa działa bez konieczności modyfikacji, nieświadomy, że funkcjonuje w środowisku wirtualnym, jest w pełni niezależny.</w:t>
      </w:r>
    </w:p>
    <w:p w14:paraId="0968F539" w14:textId="77777777" w:rsidR="000C14B6" w:rsidRPr="000C14B6" w:rsidRDefault="000C14B6" w:rsidP="000C14B6">
      <w:pPr>
        <w:numPr>
          <w:ilvl w:val="0"/>
          <w:numId w:val="3"/>
        </w:numPr>
      </w:pPr>
      <w:r w:rsidRPr="000C14B6">
        <w:t>Wirtualizacja wspierana sprzętowo – wykorzystuje specjalne funkcje procesora, takie jak Intel VT-x czy AMD-V, w celu optymalizacji pracy maszyn wirtualnych.</w:t>
      </w:r>
    </w:p>
    <w:p w14:paraId="1A94512B" w14:textId="77777777" w:rsidR="000C14B6" w:rsidRPr="000C14B6" w:rsidRDefault="000C14B6" w:rsidP="000C14B6">
      <w:pPr>
        <w:numPr>
          <w:ilvl w:val="0"/>
          <w:numId w:val="3"/>
        </w:numPr>
      </w:pPr>
      <w:r w:rsidRPr="000C14B6">
        <w:t>Parawirtualizacja – wymaga modyfikacji systemu gościa, który jest świadomy, że działa w środowisku wirtualnym i potrafi efektywnie współpracować z hipernadzorcą [5].</w:t>
      </w:r>
    </w:p>
    <w:p w14:paraId="46FAA0B5" w14:textId="77777777" w:rsidR="000C14B6" w:rsidRPr="000C14B6" w:rsidRDefault="000C14B6" w:rsidP="000C14B6"/>
    <w:p w14:paraId="17F4218A" w14:textId="74AA8529" w:rsidR="000C14B6" w:rsidRPr="000C14B6" w:rsidRDefault="00653C5C" w:rsidP="000C14B6">
      <w:r w:rsidRPr="00653C5C">
        <w:lastRenderedPageBreak/>
        <w:t>2.2. VMware jako platforma testowa</w:t>
      </w:r>
    </w:p>
    <w:p w14:paraId="5D6C88B6" w14:textId="6F02D6DF" w:rsidR="005D6090" w:rsidRDefault="005D6090" w:rsidP="000C14B6">
      <w:r w:rsidRPr="005D6090">
        <w:t>Vmware Workstation Pro</w:t>
      </w:r>
      <w:r>
        <w:t xml:space="preserve"> (od firmy </w:t>
      </w:r>
      <w:proofErr w:type="spellStart"/>
      <w:r>
        <w:t>Broadcom</w:t>
      </w:r>
      <w:proofErr w:type="spellEnd"/>
      <w:r>
        <w:t>)</w:t>
      </w:r>
      <w:r w:rsidRPr="005D6090">
        <w:t xml:space="preserve"> jest w pełni z</w:t>
      </w:r>
      <w:r>
        <w:t xml:space="preserve">wirtualizowanym środowiskiem sprzętowym dla systemu operacyjnego gościa. </w:t>
      </w:r>
      <w:r w:rsidRPr="005D6090">
        <w:t xml:space="preserve">Program ten obsługuje wiele systemów operacyjnych gospodarza, w tym Windows, Linux oraz </w:t>
      </w:r>
      <w:proofErr w:type="spellStart"/>
      <w:r w:rsidRPr="005D6090">
        <w:t>macOS</w:t>
      </w:r>
      <w:proofErr w:type="spellEnd"/>
      <w:r w:rsidRPr="005D6090">
        <w:t>, i został zaprojektowany z myślą o maksymalnym wykorzystaniu fizycznych zasobów komputera, co przekłada się na wysoką wydajność działania maszyn wirtualnych</w:t>
      </w:r>
      <w:r>
        <w:t xml:space="preserve"> [4].</w:t>
      </w:r>
    </w:p>
    <w:p w14:paraId="0FE04F53" w14:textId="4175DB28" w:rsidR="005D6090" w:rsidRDefault="005D6090" w:rsidP="000C14B6">
      <w:r>
        <w:t>Oprogramowanie to</w:t>
      </w:r>
      <w:r w:rsidRPr="005D6090">
        <w:t xml:space="preserve"> stara się wykonywać instrukcje bezpośrednio na procesorze gospodarza, o ile jest to możliwe. W przypadkach, gdy bezpośrednie wykonanie kodu nie jest wspierane przez sprzęt, oprogramowanie korzysta z techniki dynamicznego tłumaczenia binarnego, która pozwala na przekształcanie instrukcji w czasie rzeczywistym. Tak przetworzony kod jest przechowywany w pamięci RAM, co umożliwia dalsze działanie maszyny wirtualnej z dużą szybkością – według producenta, z wydajnością sięgającą ponad 80% względem natywnego systemu</w:t>
      </w:r>
      <w:r>
        <w:t xml:space="preserve"> [4].</w:t>
      </w:r>
    </w:p>
    <w:p w14:paraId="0C9D27F7" w14:textId="15615DB9" w:rsidR="005D6090" w:rsidRPr="005D6090" w:rsidRDefault="005D6090" w:rsidP="005D6090">
      <w:proofErr w:type="spellStart"/>
      <w:r w:rsidRPr="005D6090">
        <w:t>VMware</w:t>
      </w:r>
      <w:proofErr w:type="spellEnd"/>
      <w:r w:rsidRPr="005D6090">
        <w:t xml:space="preserve"> emuluje podstawowe elementy sprzętowe, takie jak karta graficzna</w:t>
      </w:r>
      <w:r w:rsidR="00221F7A">
        <w:t xml:space="preserve"> (czego nie oferuje np., </w:t>
      </w:r>
      <w:proofErr w:type="spellStart"/>
      <w:r w:rsidR="00221F7A">
        <w:t>VirtualBox</w:t>
      </w:r>
      <w:proofErr w:type="spellEnd"/>
      <w:r w:rsidR="00221F7A">
        <w:t xml:space="preserve"> od firmy Oracle)</w:t>
      </w:r>
      <w:r w:rsidRPr="005D6090">
        <w:t xml:space="preserve">, karta sieciowa czy kontrolery dysków, a także umożliwia dostęp do urządzeń USB, portów szeregowych i równoległych za pomocą sterowników pośredniczących. Warto jednak zauważyć, że przenoszenie maszyn wirtualnych między różnymi komputerami, szczególnie z odmiennymi </w:t>
      </w:r>
      <w:proofErr w:type="spellStart"/>
      <w:r w:rsidRPr="005D6090">
        <w:t>architekturami</w:t>
      </w:r>
      <w:proofErr w:type="spellEnd"/>
      <w:r w:rsidRPr="005D6090">
        <w:t xml:space="preserve"> procesora lub liczbą rdzeni, może wymagać dodatkowej konfiguracji ze względu na różnice w zestawach instrukcji</w:t>
      </w:r>
      <w:r>
        <w:t xml:space="preserve"> [4].</w:t>
      </w:r>
    </w:p>
    <w:p w14:paraId="0412E4E8" w14:textId="4D7B113D" w:rsidR="005D6090" w:rsidRPr="005D6090" w:rsidRDefault="005D6090" w:rsidP="005D6090">
      <w:r w:rsidRPr="005D6090">
        <w:t xml:space="preserve">Dzięki powyższym rozwiązaniom, </w:t>
      </w:r>
      <w:proofErr w:type="spellStart"/>
      <w:r w:rsidRPr="005D6090">
        <w:t>VMware</w:t>
      </w:r>
      <w:proofErr w:type="spellEnd"/>
      <w:r w:rsidRPr="005D6090">
        <w:t xml:space="preserve"> Workstation</w:t>
      </w:r>
      <w:r>
        <w:t xml:space="preserve"> Pro</w:t>
      </w:r>
      <w:r w:rsidRPr="005D6090">
        <w:t xml:space="preserve"> wyróżnia się wysoką wydajnością i wszechstronnością, co czyni go solidnym narzędziem do prowadzenia badań nad bezpieczeństwem w środowiskach wirtualnych.</w:t>
      </w:r>
    </w:p>
    <w:p w14:paraId="0BB76030" w14:textId="37BE055B" w:rsidR="000C14B6" w:rsidRPr="005D6090" w:rsidRDefault="000C14B6" w:rsidP="000C14B6">
      <w:r w:rsidRPr="005D6090">
        <w:br w:type="page"/>
      </w:r>
    </w:p>
    <w:p w14:paraId="14F1B5A1" w14:textId="77777777" w:rsidR="000C14B6" w:rsidRPr="000C14B6" w:rsidRDefault="000C14B6" w:rsidP="000C14B6">
      <w:pPr>
        <w:rPr>
          <w:lang w:val="en-US"/>
        </w:rPr>
      </w:pPr>
      <w:proofErr w:type="spellStart"/>
      <w:r w:rsidRPr="000C14B6">
        <w:rPr>
          <w:lang w:val="en-US"/>
        </w:rPr>
        <w:lastRenderedPageBreak/>
        <w:t>Bibliografia</w:t>
      </w:r>
      <w:proofErr w:type="spellEnd"/>
    </w:p>
    <w:p w14:paraId="17D1B111" w14:textId="77777777" w:rsidR="000C14B6" w:rsidRPr="000C14B6" w:rsidRDefault="000C14B6" w:rsidP="000C14B6">
      <w:pPr>
        <w:rPr>
          <w:lang w:val="en-US"/>
        </w:rPr>
      </w:pPr>
      <w:r w:rsidRPr="000C14B6">
        <w:rPr>
          <w:lang w:val="en-US"/>
        </w:rPr>
        <w:t>[1] Virtualization Throughout the Software Lifecycle, Sarah N. Crutchfield</w:t>
      </w:r>
    </w:p>
    <w:p w14:paraId="628288E7" w14:textId="77777777" w:rsidR="000C14B6" w:rsidRPr="000C14B6" w:rsidRDefault="000C14B6" w:rsidP="000C14B6">
      <w:pPr>
        <w:rPr>
          <w:lang w:val="en-US"/>
        </w:rPr>
      </w:pPr>
      <w:r w:rsidRPr="000C14B6">
        <w:rPr>
          <w:lang w:val="en-US"/>
        </w:rPr>
        <w:t>[2] Virtualization and Security Aspects: An Overview, Rui Filipe Pereira, Rui Miguel Silva &amp; João Pedro Orvalho</w:t>
      </w:r>
    </w:p>
    <w:p w14:paraId="44CAFACE" w14:textId="77777777" w:rsidR="000C14B6" w:rsidRPr="000C14B6" w:rsidRDefault="000C14B6" w:rsidP="000C14B6">
      <w:pPr>
        <w:rPr>
          <w:lang w:val="en-US"/>
        </w:rPr>
      </w:pPr>
      <w:r w:rsidRPr="000C14B6">
        <w:rPr>
          <w:lang w:val="en-US"/>
        </w:rPr>
        <w:t>[3] Virtualization and Forensics A Digital Forensic Investigator’s Guide to Virtual Environments</w:t>
      </w:r>
    </w:p>
    <w:p w14:paraId="3A049876" w14:textId="77777777" w:rsidR="000C14B6" w:rsidRPr="000C14B6" w:rsidRDefault="000C14B6" w:rsidP="000C14B6">
      <w:pPr>
        <w:rPr>
          <w:b/>
          <w:bCs/>
          <w:lang w:val="en-US"/>
        </w:rPr>
      </w:pPr>
      <w:r w:rsidRPr="000C14B6">
        <w:rPr>
          <w:lang w:val="en-US"/>
        </w:rPr>
        <w:t xml:space="preserve">[4] VMware vSphere Essentials: A Practical Approach to vSphere Deployment and Management Luciano Patrão  </w:t>
      </w:r>
    </w:p>
    <w:p w14:paraId="5D59C8B9" w14:textId="77777777" w:rsidR="000C14B6" w:rsidRPr="000C14B6" w:rsidRDefault="000C14B6" w:rsidP="000C14B6">
      <w:pPr>
        <w:rPr>
          <w:lang w:val="en-US"/>
        </w:rPr>
      </w:pPr>
      <w:r w:rsidRPr="000C14B6">
        <w:rPr>
          <w:lang w:val="en-US"/>
        </w:rPr>
        <w:t>[5] Optimal guest file system for type-2 hypervisorbased virtualization in Virtual box</w:t>
      </w:r>
    </w:p>
    <w:p w14:paraId="2A7FFB0C" w14:textId="77777777" w:rsidR="000F5FE4" w:rsidRPr="000C14B6" w:rsidRDefault="000F5FE4" w:rsidP="000C14B6">
      <w:pPr>
        <w:rPr>
          <w:lang w:val="en-US"/>
        </w:rPr>
      </w:pPr>
    </w:p>
    <w:sectPr w:rsidR="000F5FE4" w:rsidRPr="000C14B6">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28229" w14:textId="77777777" w:rsidR="00272814" w:rsidRDefault="00272814" w:rsidP="007A5EB8">
      <w:pPr>
        <w:spacing w:after="0" w:line="240" w:lineRule="auto"/>
      </w:pPr>
      <w:r>
        <w:separator/>
      </w:r>
    </w:p>
  </w:endnote>
  <w:endnote w:type="continuationSeparator" w:id="0">
    <w:p w14:paraId="5258107B" w14:textId="77777777" w:rsidR="00272814" w:rsidRDefault="00272814" w:rsidP="007A5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680E6A" w14:textId="77777777" w:rsidR="00272814" w:rsidRDefault="00272814" w:rsidP="007A5EB8">
      <w:pPr>
        <w:spacing w:after="0" w:line="240" w:lineRule="auto"/>
      </w:pPr>
      <w:r>
        <w:separator/>
      </w:r>
    </w:p>
  </w:footnote>
  <w:footnote w:type="continuationSeparator" w:id="0">
    <w:p w14:paraId="57C09A69" w14:textId="77777777" w:rsidR="00272814" w:rsidRDefault="00272814" w:rsidP="007A5E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76CA9"/>
    <w:multiLevelType w:val="multilevel"/>
    <w:tmpl w:val="D05A9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F7E8E"/>
    <w:multiLevelType w:val="multilevel"/>
    <w:tmpl w:val="BD46D4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BE606E"/>
    <w:multiLevelType w:val="hybridMultilevel"/>
    <w:tmpl w:val="CE1230E2"/>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num w:numId="1" w16cid:durableId="1975064647">
    <w:abstractNumId w:val="0"/>
  </w:num>
  <w:num w:numId="2" w16cid:durableId="1424883857">
    <w:abstractNumId w:val="2"/>
    <w:lvlOverride w:ilvl="0"/>
    <w:lvlOverride w:ilvl="1"/>
    <w:lvlOverride w:ilvl="2"/>
    <w:lvlOverride w:ilvl="3"/>
    <w:lvlOverride w:ilvl="4"/>
    <w:lvlOverride w:ilvl="5"/>
    <w:lvlOverride w:ilvl="6"/>
    <w:lvlOverride w:ilvl="7"/>
    <w:lvlOverride w:ilvl="8"/>
  </w:num>
  <w:num w:numId="3" w16cid:durableId="179778826">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2131"/>
    <w:rsid w:val="000145E9"/>
    <w:rsid w:val="00017B6B"/>
    <w:rsid w:val="0004469E"/>
    <w:rsid w:val="000951AF"/>
    <w:rsid w:val="000B0BD9"/>
    <w:rsid w:val="000C14B6"/>
    <w:rsid w:val="000F5FE4"/>
    <w:rsid w:val="001A2C93"/>
    <w:rsid w:val="001F0838"/>
    <w:rsid w:val="00201697"/>
    <w:rsid w:val="00221F7A"/>
    <w:rsid w:val="00272814"/>
    <w:rsid w:val="002B4667"/>
    <w:rsid w:val="002D2131"/>
    <w:rsid w:val="003B0199"/>
    <w:rsid w:val="00421A82"/>
    <w:rsid w:val="0047729B"/>
    <w:rsid w:val="004E75E6"/>
    <w:rsid w:val="005200FC"/>
    <w:rsid w:val="00566C5B"/>
    <w:rsid w:val="005C37E9"/>
    <w:rsid w:val="005D6090"/>
    <w:rsid w:val="00653C5C"/>
    <w:rsid w:val="006D4985"/>
    <w:rsid w:val="0076729A"/>
    <w:rsid w:val="007A5EB8"/>
    <w:rsid w:val="007D49F4"/>
    <w:rsid w:val="008A7598"/>
    <w:rsid w:val="008E4E7E"/>
    <w:rsid w:val="009275D9"/>
    <w:rsid w:val="009355CB"/>
    <w:rsid w:val="009B286E"/>
    <w:rsid w:val="00A064F6"/>
    <w:rsid w:val="00A8482E"/>
    <w:rsid w:val="00AC739D"/>
    <w:rsid w:val="00AD7166"/>
    <w:rsid w:val="00C02368"/>
    <w:rsid w:val="00D33807"/>
    <w:rsid w:val="00E07DB1"/>
    <w:rsid w:val="00E141B6"/>
    <w:rsid w:val="00E359AC"/>
    <w:rsid w:val="00E44375"/>
    <w:rsid w:val="00E52C12"/>
    <w:rsid w:val="00EC3704"/>
    <w:rsid w:val="00F440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8DAC5"/>
  <w15:chartTrackingRefBased/>
  <w15:docId w15:val="{7B628860-74B7-49D5-B0C9-D77A55BA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pl-PL"/>
    </w:rPr>
  </w:style>
  <w:style w:type="paragraph" w:styleId="Heading1">
    <w:name w:val="heading 1"/>
    <w:basedOn w:val="Normal"/>
    <w:next w:val="Normal"/>
    <w:link w:val="Heading1Char"/>
    <w:uiPriority w:val="9"/>
    <w:qFormat/>
    <w:rsid w:val="002D21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21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21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21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21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21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21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21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21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131"/>
    <w:rPr>
      <w:rFonts w:asciiTheme="majorHAnsi" w:eastAsiaTheme="majorEastAsia" w:hAnsiTheme="majorHAnsi" w:cstheme="majorBidi"/>
      <w:color w:val="0F4761" w:themeColor="accent1" w:themeShade="BF"/>
      <w:sz w:val="40"/>
      <w:szCs w:val="40"/>
      <w:lang w:val="pl-PL"/>
    </w:rPr>
  </w:style>
  <w:style w:type="character" w:customStyle="1" w:styleId="Heading2Char">
    <w:name w:val="Heading 2 Char"/>
    <w:basedOn w:val="DefaultParagraphFont"/>
    <w:link w:val="Heading2"/>
    <w:uiPriority w:val="9"/>
    <w:semiHidden/>
    <w:rsid w:val="002D2131"/>
    <w:rPr>
      <w:rFonts w:asciiTheme="majorHAnsi" w:eastAsiaTheme="majorEastAsia" w:hAnsiTheme="majorHAnsi" w:cstheme="majorBidi"/>
      <w:color w:val="0F4761" w:themeColor="accent1" w:themeShade="BF"/>
      <w:sz w:val="32"/>
      <w:szCs w:val="32"/>
      <w:lang w:val="pl-PL"/>
    </w:rPr>
  </w:style>
  <w:style w:type="character" w:customStyle="1" w:styleId="Heading3Char">
    <w:name w:val="Heading 3 Char"/>
    <w:basedOn w:val="DefaultParagraphFont"/>
    <w:link w:val="Heading3"/>
    <w:uiPriority w:val="9"/>
    <w:semiHidden/>
    <w:rsid w:val="002D2131"/>
    <w:rPr>
      <w:rFonts w:eastAsiaTheme="majorEastAsia" w:cstheme="majorBidi"/>
      <w:color w:val="0F4761" w:themeColor="accent1" w:themeShade="BF"/>
      <w:sz w:val="28"/>
      <w:szCs w:val="28"/>
      <w:lang w:val="pl-PL"/>
    </w:rPr>
  </w:style>
  <w:style w:type="character" w:customStyle="1" w:styleId="Heading4Char">
    <w:name w:val="Heading 4 Char"/>
    <w:basedOn w:val="DefaultParagraphFont"/>
    <w:link w:val="Heading4"/>
    <w:uiPriority w:val="9"/>
    <w:semiHidden/>
    <w:rsid w:val="002D2131"/>
    <w:rPr>
      <w:rFonts w:eastAsiaTheme="majorEastAsia" w:cstheme="majorBidi"/>
      <w:i/>
      <w:iCs/>
      <w:color w:val="0F4761" w:themeColor="accent1" w:themeShade="BF"/>
      <w:lang w:val="pl-PL"/>
    </w:rPr>
  </w:style>
  <w:style w:type="character" w:customStyle="1" w:styleId="Heading5Char">
    <w:name w:val="Heading 5 Char"/>
    <w:basedOn w:val="DefaultParagraphFont"/>
    <w:link w:val="Heading5"/>
    <w:uiPriority w:val="9"/>
    <w:semiHidden/>
    <w:rsid w:val="002D2131"/>
    <w:rPr>
      <w:rFonts w:eastAsiaTheme="majorEastAsia" w:cstheme="majorBidi"/>
      <w:color w:val="0F4761" w:themeColor="accent1" w:themeShade="BF"/>
      <w:lang w:val="pl-PL"/>
    </w:rPr>
  </w:style>
  <w:style w:type="character" w:customStyle="1" w:styleId="Heading6Char">
    <w:name w:val="Heading 6 Char"/>
    <w:basedOn w:val="DefaultParagraphFont"/>
    <w:link w:val="Heading6"/>
    <w:uiPriority w:val="9"/>
    <w:semiHidden/>
    <w:rsid w:val="002D2131"/>
    <w:rPr>
      <w:rFonts w:eastAsiaTheme="majorEastAsia" w:cstheme="majorBidi"/>
      <w:i/>
      <w:iCs/>
      <w:color w:val="595959" w:themeColor="text1" w:themeTint="A6"/>
      <w:lang w:val="pl-PL"/>
    </w:rPr>
  </w:style>
  <w:style w:type="character" w:customStyle="1" w:styleId="Heading7Char">
    <w:name w:val="Heading 7 Char"/>
    <w:basedOn w:val="DefaultParagraphFont"/>
    <w:link w:val="Heading7"/>
    <w:uiPriority w:val="9"/>
    <w:semiHidden/>
    <w:rsid w:val="002D2131"/>
    <w:rPr>
      <w:rFonts w:eastAsiaTheme="majorEastAsia" w:cstheme="majorBidi"/>
      <w:color w:val="595959" w:themeColor="text1" w:themeTint="A6"/>
      <w:lang w:val="pl-PL"/>
    </w:rPr>
  </w:style>
  <w:style w:type="character" w:customStyle="1" w:styleId="Heading8Char">
    <w:name w:val="Heading 8 Char"/>
    <w:basedOn w:val="DefaultParagraphFont"/>
    <w:link w:val="Heading8"/>
    <w:uiPriority w:val="9"/>
    <w:semiHidden/>
    <w:rsid w:val="002D2131"/>
    <w:rPr>
      <w:rFonts w:eastAsiaTheme="majorEastAsia" w:cstheme="majorBidi"/>
      <w:i/>
      <w:iCs/>
      <w:color w:val="272727" w:themeColor="text1" w:themeTint="D8"/>
      <w:lang w:val="pl-PL"/>
    </w:rPr>
  </w:style>
  <w:style w:type="character" w:customStyle="1" w:styleId="Heading9Char">
    <w:name w:val="Heading 9 Char"/>
    <w:basedOn w:val="DefaultParagraphFont"/>
    <w:link w:val="Heading9"/>
    <w:uiPriority w:val="9"/>
    <w:semiHidden/>
    <w:rsid w:val="002D2131"/>
    <w:rPr>
      <w:rFonts w:eastAsiaTheme="majorEastAsia" w:cstheme="majorBidi"/>
      <w:color w:val="272727" w:themeColor="text1" w:themeTint="D8"/>
      <w:lang w:val="pl-PL"/>
    </w:rPr>
  </w:style>
  <w:style w:type="paragraph" w:styleId="Title">
    <w:name w:val="Title"/>
    <w:basedOn w:val="Normal"/>
    <w:next w:val="Normal"/>
    <w:link w:val="TitleChar"/>
    <w:uiPriority w:val="10"/>
    <w:qFormat/>
    <w:rsid w:val="002D21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2131"/>
    <w:rPr>
      <w:rFonts w:asciiTheme="majorHAnsi" w:eastAsiaTheme="majorEastAsia" w:hAnsiTheme="majorHAnsi" w:cstheme="majorBidi"/>
      <w:spacing w:val="-10"/>
      <w:kern w:val="28"/>
      <w:sz w:val="56"/>
      <w:szCs w:val="56"/>
      <w:lang w:val="pl-PL"/>
    </w:rPr>
  </w:style>
  <w:style w:type="paragraph" w:styleId="Subtitle">
    <w:name w:val="Subtitle"/>
    <w:basedOn w:val="Normal"/>
    <w:next w:val="Normal"/>
    <w:link w:val="SubtitleChar"/>
    <w:uiPriority w:val="11"/>
    <w:qFormat/>
    <w:rsid w:val="002D21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2131"/>
    <w:rPr>
      <w:rFonts w:eastAsiaTheme="majorEastAsia" w:cstheme="majorBidi"/>
      <w:color w:val="595959" w:themeColor="text1" w:themeTint="A6"/>
      <w:spacing w:val="15"/>
      <w:sz w:val="28"/>
      <w:szCs w:val="28"/>
      <w:lang w:val="pl-PL"/>
    </w:rPr>
  </w:style>
  <w:style w:type="paragraph" w:styleId="Quote">
    <w:name w:val="Quote"/>
    <w:basedOn w:val="Normal"/>
    <w:next w:val="Normal"/>
    <w:link w:val="QuoteChar"/>
    <w:uiPriority w:val="29"/>
    <w:qFormat/>
    <w:rsid w:val="002D2131"/>
    <w:pPr>
      <w:spacing w:before="160"/>
      <w:jc w:val="center"/>
    </w:pPr>
    <w:rPr>
      <w:i/>
      <w:iCs/>
      <w:color w:val="404040" w:themeColor="text1" w:themeTint="BF"/>
    </w:rPr>
  </w:style>
  <w:style w:type="character" w:customStyle="1" w:styleId="QuoteChar">
    <w:name w:val="Quote Char"/>
    <w:basedOn w:val="DefaultParagraphFont"/>
    <w:link w:val="Quote"/>
    <w:uiPriority w:val="29"/>
    <w:rsid w:val="002D2131"/>
    <w:rPr>
      <w:i/>
      <w:iCs/>
      <w:color w:val="404040" w:themeColor="text1" w:themeTint="BF"/>
      <w:lang w:val="pl-PL"/>
    </w:rPr>
  </w:style>
  <w:style w:type="paragraph" w:styleId="ListParagraph">
    <w:name w:val="List Paragraph"/>
    <w:basedOn w:val="Normal"/>
    <w:uiPriority w:val="34"/>
    <w:qFormat/>
    <w:rsid w:val="002D2131"/>
    <w:pPr>
      <w:ind w:left="720"/>
      <w:contextualSpacing/>
    </w:pPr>
  </w:style>
  <w:style w:type="character" w:styleId="IntenseEmphasis">
    <w:name w:val="Intense Emphasis"/>
    <w:basedOn w:val="DefaultParagraphFont"/>
    <w:uiPriority w:val="21"/>
    <w:qFormat/>
    <w:rsid w:val="002D2131"/>
    <w:rPr>
      <w:i/>
      <w:iCs/>
      <w:color w:val="0F4761" w:themeColor="accent1" w:themeShade="BF"/>
    </w:rPr>
  </w:style>
  <w:style w:type="paragraph" w:styleId="IntenseQuote">
    <w:name w:val="Intense Quote"/>
    <w:basedOn w:val="Normal"/>
    <w:next w:val="Normal"/>
    <w:link w:val="IntenseQuoteChar"/>
    <w:uiPriority w:val="30"/>
    <w:qFormat/>
    <w:rsid w:val="002D21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2131"/>
    <w:rPr>
      <w:i/>
      <w:iCs/>
      <w:color w:val="0F4761" w:themeColor="accent1" w:themeShade="BF"/>
      <w:lang w:val="pl-PL"/>
    </w:rPr>
  </w:style>
  <w:style w:type="character" w:styleId="IntenseReference">
    <w:name w:val="Intense Reference"/>
    <w:basedOn w:val="DefaultParagraphFont"/>
    <w:uiPriority w:val="32"/>
    <w:qFormat/>
    <w:rsid w:val="002D2131"/>
    <w:rPr>
      <w:b/>
      <w:bCs/>
      <w:smallCaps/>
      <w:color w:val="0F4761" w:themeColor="accent1" w:themeShade="BF"/>
      <w:spacing w:val="5"/>
    </w:rPr>
  </w:style>
  <w:style w:type="paragraph" w:styleId="FootnoteText">
    <w:name w:val="footnote text"/>
    <w:basedOn w:val="Normal"/>
    <w:link w:val="FootnoteTextChar"/>
    <w:uiPriority w:val="99"/>
    <w:semiHidden/>
    <w:unhideWhenUsed/>
    <w:rsid w:val="007A5EB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5EB8"/>
    <w:rPr>
      <w:sz w:val="20"/>
      <w:szCs w:val="20"/>
      <w:lang w:val="pl-PL"/>
    </w:rPr>
  </w:style>
  <w:style w:type="character" w:styleId="FootnoteReference">
    <w:name w:val="footnote reference"/>
    <w:basedOn w:val="DefaultParagraphFont"/>
    <w:uiPriority w:val="99"/>
    <w:semiHidden/>
    <w:unhideWhenUsed/>
    <w:rsid w:val="007A5EB8"/>
    <w:rPr>
      <w:vertAlign w:val="superscript"/>
    </w:rPr>
  </w:style>
  <w:style w:type="character" w:styleId="Hyperlink">
    <w:name w:val="Hyperlink"/>
    <w:basedOn w:val="DefaultParagraphFont"/>
    <w:uiPriority w:val="99"/>
    <w:unhideWhenUsed/>
    <w:rsid w:val="00D33807"/>
    <w:rPr>
      <w:color w:val="467886" w:themeColor="hyperlink"/>
      <w:u w:val="single"/>
    </w:rPr>
  </w:style>
  <w:style w:type="character" w:styleId="UnresolvedMention">
    <w:name w:val="Unresolved Mention"/>
    <w:basedOn w:val="DefaultParagraphFont"/>
    <w:uiPriority w:val="99"/>
    <w:semiHidden/>
    <w:unhideWhenUsed/>
    <w:rsid w:val="00D338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45227">
      <w:bodyDiv w:val="1"/>
      <w:marLeft w:val="0"/>
      <w:marRight w:val="0"/>
      <w:marTop w:val="0"/>
      <w:marBottom w:val="0"/>
      <w:divBdr>
        <w:top w:val="none" w:sz="0" w:space="0" w:color="auto"/>
        <w:left w:val="none" w:sz="0" w:space="0" w:color="auto"/>
        <w:bottom w:val="none" w:sz="0" w:space="0" w:color="auto"/>
        <w:right w:val="none" w:sz="0" w:space="0" w:color="auto"/>
      </w:divBdr>
    </w:div>
    <w:div w:id="28772821">
      <w:bodyDiv w:val="1"/>
      <w:marLeft w:val="0"/>
      <w:marRight w:val="0"/>
      <w:marTop w:val="0"/>
      <w:marBottom w:val="0"/>
      <w:divBdr>
        <w:top w:val="none" w:sz="0" w:space="0" w:color="auto"/>
        <w:left w:val="none" w:sz="0" w:space="0" w:color="auto"/>
        <w:bottom w:val="none" w:sz="0" w:space="0" w:color="auto"/>
        <w:right w:val="none" w:sz="0" w:space="0" w:color="auto"/>
      </w:divBdr>
    </w:div>
    <w:div w:id="73868034">
      <w:bodyDiv w:val="1"/>
      <w:marLeft w:val="0"/>
      <w:marRight w:val="0"/>
      <w:marTop w:val="0"/>
      <w:marBottom w:val="0"/>
      <w:divBdr>
        <w:top w:val="none" w:sz="0" w:space="0" w:color="auto"/>
        <w:left w:val="none" w:sz="0" w:space="0" w:color="auto"/>
        <w:bottom w:val="none" w:sz="0" w:space="0" w:color="auto"/>
        <w:right w:val="none" w:sz="0" w:space="0" w:color="auto"/>
      </w:divBdr>
    </w:div>
    <w:div w:id="497423228">
      <w:bodyDiv w:val="1"/>
      <w:marLeft w:val="0"/>
      <w:marRight w:val="0"/>
      <w:marTop w:val="0"/>
      <w:marBottom w:val="0"/>
      <w:divBdr>
        <w:top w:val="none" w:sz="0" w:space="0" w:color="auto"/>
        <w:left w:val="none" w:sz="0" w:space="0" w:color="auto"/>
        <w:bottom w:val="none" w:sz="0" w:space="0" w:color="auto"/>
        <w:right w:val="none" w:sz="0" w:space="0" w:color="auto"/>
      </w:divBdr>
    </w:div>
    <w:div w:id="812061825">
      <w:bodyDiv w:val="1"/>
      <w:marLeft w:val="0"/>
      <w:marRight w:val="0"/>
      <w:marTop w:val="0"/>
      <w:marBottom w:val="0"/>
      <w:divBdr>
        <w:top w:val="none" w:sz="0" w:space="0" w:color="auto"/>
        <w:left w:val="none" w:sz="0" w:space="0" w:color="auto"/>
        <w:bottom w:val="none" w:sz="0" w:space="0" w:color="auto"/>
        <w:right w:val="none" w:sz="0" w:space="0" w:color="auto"/>
      </w:divBdr>
    </w:div>
    <w:div w:id="108056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420AE66457A43740AE1EAB3CD114EE32" ma:contentTypeVersion="11" ma:contentTypeDescription="Utwórz nowy dokument." ma:contentTypeScope="" ma:versionID="b7944d1fb6247475f8bbaf98b27a0332">
  <xsd:schema xmlns:xsd="http://www.w3.org/2001/XMLSchema" xmlns:xs="http://www.w3.org/2001/XMLSchema" xmlns:p="http://schemas.microsoft.com/office/2006/metadata/properties" xmlns:ns3="8c0450b4-52b1-4774-b115-69fdef19c40a" targetNamespace="http://schemas.microsoft.com/office/2006/metadata/properties" ma:root="true" ma:fieldsID="12435e6836a551c0ef3554049423e8f6" ns3:_="">
    <xsd:import namespace="8c0450b4-52b1-4774-b115-69fdef19c40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DateTaken" minOccurs="0"/>
                <xsd:element ref="ns3:MediaServiceObjectDetectorVersions" minOccurs="0"/>
                <xsd:element ref="ns3:MediaServiceSystemTags" minOccurs="0"/>
                <xsd:element ref="ns3:MediaServiceGenerationTime" minOccurs="0"/>
                <xsd:element ref="ns3:MediaServiceEventHashCode" minOccurs="0"/>
                <xsd:element ref="ns3:MediaLengthInSeconds" minOccurs="0"/>
                <xsd:element ref="ns3:_activity"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c0450b4-52b1-4774-b115-69fdef19c40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8c0450b4-52b1-4774-b115-69fdef19c40a"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E9BC7E-617F-4710-96F7-298ED6BC96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c0450b4-52b1-4774-b115-69fdef19c4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E6C9D04-A652-49B0-A9D3-FB33376B443F}">
  <ds:schemaRefs>
    <ds:schemaRef ds:uri="http://schemas.microsoft.com/sharepoint/v3/contenttype/forms"/>
  </ds:schemaRefs>
</ds:datastoreItem>
</file>

<file path=customXml/itemProps3.xml><?xml version="1.0" encoding="utf-8"?>
<ds:datastoreItem xmlns:ds="http://schemas.openxmlformats.org/officeDocument/2006/customXml" ds:itemID="{FE22518A-9B45-4C99-82CB-2F5C03E23EC1}">
  <ds:schemaRefs>
    <ds:schemaRef ds:uri="http://schemas.microsoft.com/office/2006/metadata/properties"/>
    <ds:schemaRef ds:uri="http://schemas.microsoft.com/office/infopath/2007/PartnerControls"/>
    <ds:schemaRef ds:uri="8c0450b4-52b1-4774-b115-69fdef19c40a"/>
  </ds:schemaRefs>
</ds:datastoreItem>
</file>

<file path=customXml/itemProps4.xml><?xml version="1.0" encoding="utf-8"?>
<ds:datastoreItem xmlns:ds="http://schemas.openxmlformats.org/officeDocument/2006/customXml" ds:itemID="{58C0DB9C-F3EC-41E9-93D5-84C86AFACD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Pages>
  <Words>756</Words>
  <Characters>4314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Michał Kochanowicz</dc:creator>
  <cp:keywords/>
  <dc:description/>
  <cp:lastModifiedBy>Michał Kochanowicz</cp:lastModifiedBy>
  <cp:revision>3</cp:revision>
  <dcterms:created xsi:type="dcterms:W3CDTF">2025-03-13T09:01:00Z</dcterms:created>
  <dcterms:modified xsi:type="dcterms:W3CDTF">2025-04-15T10:22:00Z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0x010100420AE66457A43740AE1EAB3CD114EE32</vt:lpwstr>
  </property>
</Properties>
</file>