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eastAsia="Microsoft YaHei"/>
          <w:b/>
          <w:sz w:val="48"/>
        </w:rPr>
        <w:t>量化期权研究平台</w:t>
      </w:r>
    </w:p>
    <w:p>
      <w:r>
        <w:rPr>
          <w:rFonts w:ascii="Calibri" w:hAnsi="Calibri" w:eastAsia="Microsoft YaHei"/>
          <w:b/>
          <w:i w:val="0"/>
          <w:sz w:val="22"/>
        </w:rPr>
        <w:t>技术白皮书 v1.0（中文版）</w:t>
      </w:r>
    </w:p>
    <w:p>
      <w:r>
        <w:rPr>
          <w:rFonts w:ascii="Calibri" w:hAnsi="Calibri" w:eastAsia="Microsoft YaHei"/>
          <w:b w:val="0"/>
          <w:i w:val="0"/>
          <w:sz w:val="22"/>
        </w:rPr>
        <w:t>研究、策略、投资组合、风险管理、对冲与自动化报告系统</w:t>
      </w:r>
    </w:p>
    <w:p>
      <w:r>
        <w:rPr>
          <w:rFonts w:ascii="Calibri" w:hAnsi="Calibri" w:eastAsia="Microsoft YaHei"/>
          <w:b w:val="0"/>
          <w:i w:val="0"/>
          <w:sz w:val="22"/>
        </w:rPr>
        <w:t>作者：Jingzhe Yang</w:t>
      </w:r>
    </w:p>
    <w:p>
      <w:r>
        <w:rPr>
          <w:rFonts w:ascii="Calibri" w:hAnsi="Calibri" w:eastAsia="Microsoft YaHei"/>
          <w:b w:val="0"/>
          <w:i w:val="0"/>
          <w:sz w:val="22"/>
        </w:rPr>
        <w:t>研究区间：2026-01-02 至 2026-06-10</w:t>
      </w:r>
    </w:p>
    <w:p>
      <w:r>
        <w:rPr>
          <w:rFonts w:ascii="Calibri" w:hAnsi="Calibri" w:eastAsia="Microsoft YaHei"/>
          <w:b w:val="0"/>
          <w:i w:val="0"/>
          <w:sz w:val="22"/>
        </w:rPr>
      </w:r>
    </w:p>
    <w:p>
      <w:r>
        <w:rPr>
          <w:rFonts w:ascii="Calibri" w:hAnsi="Calibri" w:eastAsia="Microsoft YaHei"/>
          <w:b w:val="0"/>
          <w:i w:val="0"/>
          <w:sz w:val="22"/>
        </w:rPr>
        <w:t>本文件为量化期权研究平台的正式中文技术白皮书。报告系统性整合了最初的七项目标研究工程及其后续平台化扩展，涵盖市场数据清洗、隐含波动率与希腊字母计算、策略库建设、投资组合管理、风险监控、对冲建议、自动化流程及技术报告生成等核心模块。</w:t>
      </w:r>
    </w:p>
    <w:p>
      <w:r>
        <w:br w:type="page"/>
      </w:r>
    </w:p>
    <w:p>
      <w:pPr>
        <w:pStyle w:val="Heading1"/>
      </w:pPr>
      <w:r>
        <w:rPr>
          <w:rFonts w:ascii="Calibri" w:hAnsi="Calibri" w:eastAsia="Microsoft YaHei"/>
          <w:b/>
          <w:sz w:val="32"/>
        </w:rPr>
        <w:t>目录</w:t>
      </w:r>
    </w:p>
    <w:p>
      <w:r>
        <w:rPr>
          <w:rFonts w:ascii="Calibri" w:hAnsi="Calibri" w:eastAsia="Microsoft YaHei"/>
          <w:b w:val="0"/>
          <w:i w:val="0"/>
          <w:sz w:val="22"/>
        </w:rPr>
        <w:t>执行摘要</w:t>
      </w:r>
    </w:p>
    <w:p>
      <w:r>
        <w:rPr>
          <w:rFonts w:ascii="Calibri" w:hAnsi="Calibri" w:eastAsia="Microsoft YaHei"/>
          <w:b w:val="0"/>
          <w:i w:val="0"/>
          <w:sz w:val="22"/>
        </w:rPr>
        <w:t>第一部分——研究基础</w:t>
      </w:r>
    </w:p>
    <w:p>
      <w:r>
        <w:rPr>
          <w:rFonts w:ascii="Calibri" w:hAnsi="Calibri" w:eastAsia="Microsoft YaHei"/>
          <w:b w:val="0"/>
          <w:i w:val="0"/>
          <w:sz w:val="22"/>
        </w:rPr>
        <w:t>1. 项目背景</w:t>
      </w:r>
    </w:p>
    <w:p>
      <w:r>
        <w:rPr>
          <w:rFonts w:ascii="Calibri" w:hAnsi="Calibri" w:eastAsia="Microsoft YaHei"/>
          <w:b w:val="0"/>
          <w:i w:val="0"/>
          <w:sz w:val="22"/>
        </w:rPr>
        <w:t>2. 数据集与数据工程</w:t>
      </w:r>
    </w:p>
    <w:p>
      <w:r>
        <w:rPr>
          <w:rFonts w:ascii="Calibri" w:hAnsi="Calibri" w:eastAsia="Microsoft YaHei"/>
          <w:b w:val="0"/>
          <w:i w:val="0"/>
          <w:sz w:val="22"/>
        </w:rPr>
        <w:t>3. 数据预处理与清洗</w:t>
      </w:r>
    </w:p>
    <w:p>
      <w:r>
        <w:rPr>
          <w:rFonts w:ascii="Calibri" w:hAnsi="Calibri" w:eastAsia="Microsoft YaHei"/>
          <w:b w:val="0"/>
          <w:i w:val="0"/>
          <w:sz w:val="22"/>
        </w:rPr>
        <w:t>4. 波动率分析</w:t>
      </w:r>
    </w:p>
    <w:p>
      <w:r>
        <w:rPr>
          <w:rFonts w:ascii="Calibri" w:hAnsi="Calibri" w:eastAsia="Microsoft YaHei"/>
          <w:b w:val="0"/>
          <w:i w:val="0"/>
          <w:sz w:val="22"/>
        </w:rPr>
        <w:t>5. 信号方法论</w:t>
      </w:r>
    </w:p>
    <w:p>
      <w:r>
        <w:rPr>
          <w:rFonts w:ascii="Calibri" w:hAnsi="Calibri" w:eastAsia="Microsoft YaHei"/>
          <w:b w:val="0"/>
          <w:i w:val="0"/>
          <w:sz w:val="22"/>
        </w:rPr>
        <w:t>6. 策略构建</w:t>
      </w:r>
    </w:p>
    <w:p>
      <w:r>
        <w:rPr>
          <w:rFonts w:ascii="Calibri" w:hAnsi="Calibri" w:eastAsia="Microsoft YaHei"/>
          <w:b w:val="0"/>
          <w:i w:val="0"/>
          <w:sz w:val="22"/>
        </w:rPr>
        <w:t>7. 回测框架</w:t>
      </w:r>
    </w:p>
    <w:p>
      <w:r>
        <w:rPr>
          <w:rFonts w:ascii="Calibri" w:hAnsi="Calibri" w:eastAsia="Microsoft YaHei"/>
          <w:b w:val="0"/>
          <w:i w:val="0"/>
          <w:sz w:val="22"/>
        </w:rPr>
        <w:t>8. 交易成本与稳健性分析</w:t>
      </w:r>
    </w:p>
    <w:p>
      <w:r>
        <w:rPr>
          <w:rFonts w:ascii="Calibri" w:hAnsi="Calibri" w:eastAsia="Microsoft YaHei"/>
          <w:b w:val="0"/>
          <w:i w:val="0"/>
          <w:sz w:val="22"/>
        </w:rPr>
        <w:t>第二部分——量化研究平台</w:t>
      </w:r>
    </w:p>
    <w:p>
      <w:r>
        <w:rPr>
          <w:rFonts w:ascii="Calibri" w:hAnsi="Calibri" w:eastAsia="Microsoft YaHei"/>
          <w:b w:val="0"/>
          <w:i w:val="0"/>
          <w:sz w:val="22"/>
        </w:rPr>
        <w:t>9. 系统架构</w:t>
      </w:r>
    </w:p>
    <w:p>
      <w:r>
        <w:rPr>
          <w:rFonts w:ascii="Calibri" w:hAnsi="Calibri" w:eastAsia="Microsoft YaHei"/>
          <w:b w:val="0"/>
          <w:i w:val="0"/>
          <w:sz w:val="22"/>
        </w:rPr>
        <w:t>10. 策略库扩展与管理</w:t>
      </w:r>
    </w:p>
    <w:p>
      <w:r>
        <w:rPr>
          <w:rFonts w:ascii="Calibri" w:hAnsi="Calibri" w:eastAsia="Microsoft YaHei"/>
          <w:b w:val="0"/>
          <w:i w:val="0"/>
          <w:sz w:val="22"/>
        </w:rPr>
        <w:t>11. 投资组合管理模块</w:t>
      </w:r>
    </w:p>
    <w:p>
      <w:r>
        <w:rPr>
          <w:rFonts w:ascii="Calibri" w:hAnsi="Calibri" w:eastAsia="Microsoft YaHei"/>
          <w:b w:val="0"/>
          <w:i w:val="0"/>
          <w:sz w:val="22"/>
        </w:rPr>
        <w:t>12. 希腊字母与风险监控</w:t>
      </w:r>
    </w:p>
    <w:p>
      <w:r>
        <w:rPr>
          <w:rFonts w:ascii="Calibri" w:hAnsi="Calibri" w:eastAsia="Microsoft YaHei"/>
          <w:b w:val="0"/>
          <w:i w:val="0"/>
          <w:sz w:val="22"/>
        </w:rPr>
        <w:t>13. 对冲建议模块</w:t>
      </w:r>
    </w:p>
    <w:p>
      <w:r>
        <w:rPr>
          <w:rFonts w:ascii="Calibri" w:hAnsi="Calibri" w:eastAsia="Microsoft YaHei"/>
          <w:b w:val="0"/>
          <w:i w:val="0"/>
          <w:sz w:val="22"/>
        </w:rPr>
        <w:t>14. 自动化与报告系统</w:t>
      </w:r>
    </w:p>
    <w:p>
      <w:r>
        <w:rPr>
          <w:rFonts w:ascii="Calibri" w:hAnsi="Calibri" w:eastAsia="Microsoft YaHei"/>
          <w:b w:val="0"/>
          <w:i w:val="0"/>
          <w:sz w:val="22"/>
        </w:rPr>
        <w:t>15. 投资组合表现</w:t>
      </w:r>
    </w:p>
    <w:p>
      <w:r>
        <w:rPr>
          <w:rFonts w:ascii="Calibri" w:hAnsi="Calibri" w:eastAsia="Microsoft YaHei"/>
          <w:b w:val="0"/>
          <w:i w:val="0"/>
          <w:sz w:val="22"/>
        </w:rPr>
        <w:t>16. 当前局限与未来工作</w:t>
      </w:r>
    </w:p>
    <w:p>
      <w:r>
        <w:rPr>
          <w:rFonts w:ascii="Calibri" w:hAnsi="Calibri" w:eastAsia="Microsoft YaHei"/>
          <w:b w:val="0"/>
          <w:i w:val="0"/>
          <w:sz w:val="22"/>
        </w:rPr>
        <w:t>附录 A：项目目录结构</w:t>
      </w:r>
    </w:p>
    <w:p>
      <w:r>
        <w:rPr>
          <w:rFonts w:ascii="Calibri" w:hAnsi="Calibri" w:eastAsia="Microsoft YaHei"/>
          <w:b w:val="0"/>
          <w:i w:val="0"/>
          <w:sz w:val="22"/>
        </w:rPr>
        <w:t>附录 B：软件环境</w:t>
      </w:r>
    </w:p>
    <w:p>
      <w:r>
        <w:rPr>
          <w:rFonts w:ascii="Calibri" w:hAnsi="Calibri" w:eastAsia="Microsoft YaHei"/>
          <w:b w:val="0"/>
          <w:i w:val="0"/>
          <w:sz w:val="22"/>
        </w:rPr>
        <w:t>附录 C：版本历史</w:t>
      </w:r>
    </w:p>
    <w:p>
      <w:r>
        <w:br w:type="page"/>
      </w:r>
    </w:p>
    <w:p>
      <w:pPr>
        <w:pStyle w:val="Heading1"/>
      </w:pPr>
      <w:r>
        <w:rPr>
          <w:rFonts w:ascii="Calibri" w:hAnsi="Calibri" w:eastAsia="Microsoft YaHei"/>
          <w:b/>
          <w:sz w:val="32"/>
        </w:rPr>
        <w:t>项目概览</w:t>
      </w:r>
    </w:p>
    <w:p>
      <w:r>
        <w:rPr>
          <w:rFonts w:ascii="Calibri" w:hAnsi="Calibri" w:eastAsia="Microsoft YaHei"/>
          <w:b w:val="0"/>
          <w:i w:val="0"/>
          <w:sz w:val="22"/>
        </w:rPr>
        <w:t>本量化期权研究平台旨在建立一套完整的期权研究基础设施，覆盖市场数据处理、隐含波动率建模、策略研究、投资组合管理、风险监控、对冲建议以及自动化报告生成。</w:t>
      </w:r>
    </w:p>
    <w:p>
      <w:pPr>
        <w:pStyle w:val="Heading2"/>
      </w:pPr>
      <w:r>
        <w:rPr>
          <w:rFonts w:ascii="Calibri" w:hAnsi="Calibri" w:eastAsia="Microsoft YaHei"/>
          <w:b/>
          <w:sz w:val="26"/>
        </w:rPr>
        <w:t>研究流程</w:t>
      </w:r>
    </w:p>
    <w:p>
      <w:r>
        <w:rPr>
          <w:rFonts w:ascii="Calibri" w:hAnsi="Calibri" w:eastAsia="Microsoft YaHei"/>
          <w:b w:val="0"/>
          <w:i w:val="0"/>
          <w:sz w:val="22"/>
        </w:rPr>
        <w:br/>
        <w:t>原始市场数据</w:t>
        <w:br/>
        <w:br/>
        <w:t xml:space="preserve">        ↓</w:t>
        <w:br/>
        <w:br/>
        <w:t>数据清洗与标准化</w:t>
        <w:br/>
        <w:br/>
        <w:t xml:space="preserve">        ↓</w:t>
        <w:br/>
        <w:br/>
        <w:t>隐含波动率与 Greeks 计算</w:t>
        <w:br/>
        <w:br/>
        <w:t xml:space="preserve">        ↓</w:t>
        <w:br/>
        <w:br/>
        <w:t>策略构建与回测</w:t>
        <w:br/>
        <w:br/>
        <w:t xml:space="preserve">        ↓</w:t>
        <w:br/>
        <w:br/>
        <w:t>投资组合管理</w:t>
        <w:br/>
        <w:br/>
        <w:t xml:space="preserve">        ↓</w:t>
        <w:br/>
        <w:br/>
        <w:t>风险监控与对冲建议</w:t>
        <w:br/>
        <w:br/>
        <w:t xml:space="preserve">        ↓</w:t>
        <w:br/>
        <w:br/>
        <w:t>自动化研究报告</w:t>
        <w:br/>
        <w:t xml:space="preserve">        </w:t>
      </w:r>
    </w:p>
    <w:p>
      <w:pPr>
        <w:pStyle w:val="Heading2"/>
      </w:pPr>
      <w:r>
        <w:rPr>
          <w:rFonts w:ascii="Calibri" w:hAnsi="Calibri" w:eastAsia="Microsoft YaHei"/>
          <w:b/>
          <w:sz w:val="26"/>
        </w:rPr>
        <w:t>核心模块</w:t>
      </w:r>
    </w:p>
    <w:p>
      <w:pPr>
        <w:pStyle w:val="ListBullet"/>
      </w:pPr>
      <w:r>
        <w:rPr>
          <w:rFonts w:ascii="Calibri" w:hAnsi="Calibri" w:eastAsia="Microsoft YaHei"/>
          <w:sz w:val="22"/>
        </w:rPr>
        <w:t>数据工程模块：处理期权、期货及市场微观结构数据</w:t>
      </w:r>
    </w:p>
    <w:p>
      <w:pPr>
        <w:pStyle w:val="ListBullet"/>
      </w:pPr>
      <w:r>
        <w:rPr>
          <w:rFonts w:ascii="Calibri" w:hAnsi="Calibri" w:eastAsia="Microsoft YaHei"/>
          <w:sz w:val="22"/>
        </w:rPr>
        <w:t>波动率研究模块：构建 IV、Smile、Surface 与 Term Structure</w:t>
      </w:r>
    </w:p>
    <w:p>
      <w:pPr>
        <w:pStyle w:val="ListBullet"/>
      </w:pPr>
      <w:r>
        <w:rPr>
          <w:rFonts w:ascii="Calibri" w:hAnsi="Calibri" w:eastAsia="Microsoft YaHei"/>
          <w:sz w:val="22"/>
        </w:rPr>
        <w:t>策略模块：支持多种期权策略注册和扩展</w:t>
      </w:r>
    </w:p>
    <w:p>
      <w:pPr>
        <w:pStyle w:val="ListBullet"/>
      </w:pPr>
      <w:r>
        <w:rPr>
          <w:rFonts w:ascii="Calibri" w:hAnsi="Calibri" w:eastAsia="Microsoft YaHei"/>
          <w:sz w:val="22"/>
        </w:rPr>
        <w:t>风险模块：计算 Greeks 并生成风险状态</w:t>
      </w:r>
    </w:p>
    <w:p>
      <w:pPr>
        <w:pStyle w:val="ListBullet"/>
      </w:pPr>
      <w:r>
        <w:rPr>
          <w:rFonts w:ascii="Calibri" w:hAnsi="Calibri" w:eastAsia="Microsoft YaHei"/>
          <w:sz w:val="22"/>
        </w:rPr>
        <w:t>报告模块：自动生成中英文技术白皮书</w:t>
      </w:r>
    </w:p>
    <w:p>
      <w:r>
        <w:br w:type="page"/>
      </w:r>
    </w:p>
    <w:p>
      <w:pPr>
        <w:pStyle w:val="Heading1"/>
      </w:pPr>
      <w:r>
        <w:rPr>
          <w:rFonts w:ascii="Calibri" w:hAnsi="Calibri" w:eastAsia="Microsoft YaHei"/>
          <w:b/>
          <w:sz w:val="32"/>
        </w:rPr>
        <w:t>执行摘要</w:t>
      </w:r>
    </w:p>
    <w:tbl>
      <w:tblPr>
        <w:tblStyle w:val="TableGrid"/>
        <w:tblW w:type="auto" w:w="0"/>
        <w:tblLook w:firstColumn="1" w:firstRow="1" w:lastColumn="0" w:lastRow="0" w:noHBand="0" w:noVBand="1" w:val="04A0"/>
      </w:tblPr>
      <w:tblGrid>
        <w:gridCol w:w="4320"/>
        <w:gridCol w:w="4320"/>
      </w:tblGrid>
      <w:tr>
        <w:tc>
          <w:tcPr>
            <w:tcW w:type="dxa" w:w="4320"/>
            <w:vAlign w:val="center"/>
          </w:tcPr>
          <w:p>
            <w:r>
              <w:rPr>
                <w:rFonts w:ascii="Calibri" w:hAnsi="Calibri" w:eastAsia="Microsoft YaHei"/>
                <w:b/>
                <w:sz w:val="18"/>
              </w:rPr>
              <w:t>指标</w:t>
            </w:r>
          </w:p>
        </w:tc>
        <w:tc>
          <w:tcPr>
            <w:tcW w:type="dxa" w:w="4320"/>
            <w:vAlign w:val="center"/>
          </w:tcPr>
          <w:p>
            <w:r>
              <w:rPr>
                <w:rFonts w:ascii="Calibri" w:hAnsi="Calibri" w:eastAsia="Microsoft YaHei"/>
                <w:b/>
                <w:sz w:val="18"/>
              </w:rPr>
              <w:t>数值</w:t>
            </w:r>
          </w:p>
        </w:tc>
      </w:tr>
      <w:tr>
        <w:tc>
          <w:tcPr>
            <w:tcW w:type="dxa" w:w="4320"/>
            <w:vAlign w:val="center"/>
          </w:tcPr>
          <w:p>
            <w:r>
              <w:rPr>
                <w:rFonts w:ascii="Calibri" w:hAnsi="Calibri" w:eastAsia="Microsoft YaHei"/>
                <w:b w:val="0"/>
                <w:sz w:val="18"/>
              </w:rPr>
              <w:t>文档版本</w:t>
            </w:r>
          </w:p>
        </w:tc>
        <w:tc>
          <w:tcPr>
            <w:tcW w:type="dxa" w:w="4320"/>
            <w:vAlign w:val="center"/>
          </w:tcPr>
          <w:p>
            <w:r>
              <w:rPr>
                <w:rFonts w:ascii="Calibri" w:hAnsi="Calibri" w:eastAsia="Microsoft YaHei"/>
                <w:b w:val="0"/>
                <w:sz w:val="18"/>
              </w:rPr>
              <w:t>v3.0</w:t>
            </w:r>
          </w:p>
        </w:tc>
      </w:tr>
      <w:tr>
        <w:tc>
          <w:tcPr>
            <w:tcW w:type="dxa" w:w="4320"/>
            <w:vAlign w:val="center"/>
          </w:tcPr>
          <w:p>
            <w:r>
              <w:rPr>
                <w:rFonts w:ascii="Calibri" w:hAnsi="Calibri" w:eastAsia="Microsoft YaHei"/>
                <w:b w:val="0"/>
                <w:sz w:val="18"/>
              </w:rPr>
              <w:t>交易日数量</w:t>
            </w:r>
          </w:p>
        </w:tc>
        <w:tc>
          <w:tcPr>
            <w:tcW w:type="dxa" w:w="4320"/>
            <w:vAlign w:val="center"/>
          </w:tcPr>
          <w:p>
            <w:r>
              <w:rPr>
                <w:rFonts w:ascii="Calibri" w:hAnsi="Calibri" w:eastAsia="Microsoft YaHei"/>
                <w:b w:val="0"/>
                <w:sz w:val="18"/>
              </w:rPr>
              <w:t>107</w:t>
            </w:r>
          </w:p>
        </w:tc>
      </w:tr>
      <w:tr>
        <w:tc>
          <w:tcPr>
            <w:tcW w:type="dxa" w:w="4320"/>
            <w:vAlign w:val="center"/>
          </w:tcPr>
          <w:p>
            <w:r>
              <w:rPr>
                <w:rFonts w:ascii="Calibri" w:hAnsi="Calibri" w:eastAsia="Microsoft YaHei"/>
                <w:b w:val="0"/>
                <w:sz w:val="18"/>
              </w:rPr>
              <w:t>有效交易时段</w:t>
            </w:r>
          </w:p>
        </w:tc>
        <w:tc>
          <w:tcPr>
            <w:tcW w:type="dxa" w:w="4320"/>
            <w:vAlign w:val="center"/>
          </w:tcPr>
          <w:p>
            <w:r>
              <w:rPr>
                <w:rFonts w:ascii="Calibri" w:hAnsi="Calibri" w:eastAsia="Microsoft YaHei"/>
                <w:b w:val="0"/>
                <w:sz w:val="18"/>
              </w:rPr>
              <w:t>107</w:t>
            </w:r>
          </w:p>
        </w:tc>
      </w:tr>
      <w:tr>
        <w:tc>
          <w:tcPr>
            <w:tcW w:type="dxa" w:w="4320"/>
            <w:vAlign w:val="center"/>
          </w:tcPr>
          <w:p>
            <w:r>
              <w:rPr>
                <w:rFonts w:ascii="Calibri" w:hAnsi="Calibri" w:eastAsia="Microsoft YaHei"/>
                <w:b w:val="0"/>
                <w:sz w:val="18"/>
              </w:rPr>
              <w:t>持仓交易日</w:t>
            </w:r>
          </w:p>
        </w:tc>
        <w:tc>
          <w:tcPr>
            <w:tcW w:type="dxa" w:w="4320"/>
            <w:vAlign w:val="center"/>
          </w:tcPr>
          <w:p>
            <w:r>
              <w:rPr>
                <w:rFonts w:ascii="Calibri" w:hAnsi="Calibri" w:eastAsia="Microsoft YaHei"/>
                <w:b w:val="0"/>
                <w:sz w:val="18"/>
              </w:rPr>
              <w:t>15</w:t>
            </w:r>
          </w:p>
        </w:tc>
      </w:tr>
      <w:tr>
        <w:tc>
          <w:tcPr>
            <w:tcW w:type="dxa" w:w="4320"/>
            <w:vAlign w:val="center"/>
          </w:tcPr>
          <w:p>
            <w:r>
              <w:rPr>
                <w:rFonts w:ascii="Calibri" w:hAnsi="Calibri" w:eastAsia="Microsoft YaHei"/>
                <w:b w:val="0"/>
                <w:sz w:val="18"/>
              </w:rPr>
              <w:t>策略</w:t>
            </w:r>
          </w:p>
        </w:tc>
        <w:tc>
          <w:tcPr>
            <w:tcW w:type="dxa" w:w="4320"/>
            <w:vAlign w:val="center"/>
          </w:tcPr>
          <w:p>
            <w:r>
              <w:rPr>
                <w:rFonts w:ascii="Calibri" w:hAnsi="Calibri" w:eastAsia="Microsoft YaHei"/>
                <w:b w:val="0"/>
                <w:sz w:val="18"/>
              </w:rPr>
              <w:t>ATM Straddle Prototype、Long ATM Strangle、Butterfly、Calendar</w:t>
            </w:r>
          </w:p>
        </w:tc>
      </w:tr>
      <w:tr>
        <w:tc>
          <w:tcPr>
            <w:tcW w:type="dxa" w:w="4320"/>
            <w:vAlign w:val="center"/>
          </w:tcPr>
          <w:p>
            <w:r>
              <w:rPr>
                <w:rFonts w:ascii="Calibri" w:hAnsi="Calibri" w:eastAsia="Microsoft YaHei"/>
                <w:b w:val="0"/>
                <w:sz w:val="18"/>
              </w:rPr>
              <w:t>最终净值</w:t>
            </w:r>
          </w:p>
        </w:tc>
        <w:tc>
          <w:tcPr>
            <w:tcW w:type="dxa" w:w="4320"/>
            <w:vAlign w:val="center"/>
          </w:tcPr>
          <w:p>
            <w:r>
              <w:rPr>
                <w:rFonts w:ascii="Calibri" w:hAnsi="Calibri" w:eastAsia="Microsoft YaHei"/>
                <w:b w:val="0"/>
                <w:sz w:val="18"/>
              </w:rPr>
              <w:t>1,000,000.00</w:t>
            </w:r>
          </w:p>
        </w:tc>
      </w:tr>
      <w:tr>
        <w:tc>
          <w:tcPr>
            <w:tcW w:type="dxa" w:w="4320"/>
            <w:vAlign w:val="center"/>
          </w:tcPr>
          <w:p>
            <w:r>
              <w:rPr>
                <w:rFonts w:ascii="Calibri" w:hAnsi="Calibri" w:eastAsia="Microsoft YaHei"/>
                <w:b w:val="0"/>
                <w:sz w:val="18"/>
              </w:rPr>
              <w:t>最大回撤</w:t>
            </w:r>
          </w:p>
        </w:tc>
        <w:tc>
          <w:tcPr>
            <w:tcW w:type="dxa" w:w="4320"/>
            <w:vAlign w:val="center"/>
          </w:tcPr>
          <w:p>
            <w:r>
              <w:rPr>
                <w:rFonts w:ascii="Calibri" w:hAnsi="Calibri" w:eastAsia="Microsoft YaHei"/>
                <w:b w:val="0"/>
                <w:sz w:val="18"/>
              </w:rPr>
              <w:t>-0.1187%</w:t>
            </w:r>
          </w:p>
        </w:tc>
      </w:tr>
      <w:tr>
        <w:tc>
          <w:tcPr>
            <w:tcW w:type="dxa" w:w="4320"/>
            <w:vAlign w:val="center"/>
          </w:tcPr>
          <w:p>
            <w:r>
              <w:rPr>
                <w:rFonts w:ascii="Calibri" w:hAnsi="Calibri" w:eastAsia="Microsoft YaHei"/>
                <w:b w:val="0"/>
                <w:sz w:val="18"/>
              </w:rPr>
              <w:t>日度自动化流水线</w:t>
            </w:r>
          </w:p>
        </w:tc>
        <w:tc>
          <w:tcPr>
            <w:tcW w:type="dxa" w:w="4320"/>
            <w:vAlign w:val="center"/>
          </w:tcPr>
          <w:p>
            <w:r>
              <w:rPr>
                <w:rFonts w:ascii="Calibri" w:hAnsi="Calibri" w:eastAsia="Microsoft YaHei"/>
                <w:b w:val="0"/>
                <w:sz w:val="18"/>
              </w:rPr>
              <w:t>已完成</w:t>
            </w:r>
          </w:p>
        </w:tc>
      </w:tr>
      <w:tr>
        <w:tc>
          <w:tcPr>
            <w:tcW w:type="dxa" w:w="4320"/>
            <w:vAlign w:val="center"/>
          </w:tcPr>
          <w:p>
            <w:r>
              <w:rPr>
                <w:rFonts w:ascii="Calibri" w:hAnsi="Calibri" w:eastAsia="Microsoft YaHei"/>
                <w:b w:val="0"/>
                <w:sz w:val="18"/>
              </w:rPr>
              <w:t>Word 技术白皮书</w:t>
            </w:r>
          </w:p>
        </w:tc>
        <w:tc>
          <w:tcPr>
            <w:tcW w:type="dxa" w:w="4320"/>
            <w:vAlign w:val="center"/>
          </w:tcPr>
          <w:p>
            <w:r>
              <w:rPr>
                <w:rFonts w:ascii="Calibri" w:hAnsi="Calibri" w:eastAsia="Microsoft YaHei"/>
                <w:b w:val="0"/>
                <w:sz w:val="18"/>
              </w:rPr>
              <w:t>已完成</w:t>
            </w:r>
          </w:p>
        </w:tc>
      </w:tr>
    </w:tbl>
    <w:p>
      <w:r>
        <w:rPr>
          <w:rFonts w:ascii="Calibri" w:hAnsi="Calibri" w:eastAsia="Microsoft YaHei"/>
          <w:b w:val="0"/>
          <w:i w:val="0"/>
          <w:sz w:val="22"/>
        </w:rPr>
      </w:r>
    </w:p>
    <w:p>
      <w:pPr>
        <w:pStyle w:val="Heading2"/>
      </w:pPr>
      <w:r>
        <w:rPr>
          <w:rFonts w:ascii="Calibri" w:hAnsi="Calibri" w:eastAsia="Microsoft YaHei"/>
          <w:b/>
          <w:sz w:val="26"/>
        </w:rPr>
        <w:t>主要成果</w:t>
      </w:r>
    </w:p>
    <w:p>
      <w:pPr>
        <w:pStyle w:val="ListBullet"/>
      </w:pPr>
      <w:r>
        <w:rPr>
          <w:rFonts w:ascii="Calibri" w:hAnsi="Calibri" w:eastAsia="Microsoft YaHei"/>
          <w:sz w:val="22"/>
        </w:rPr>
        <w:t>建立了从原始市场数据处理到策略评估的端到端期权研究流程。</w:t>
      </w:r>
    </w:p>
    <w:p>
      <w:pPr>
        <w:pStyle w:val="ListBullet"/>
      </w:pPr>
      <w:r>
        <w:rPr>
          <w:rFonts w:ascii="Calibri" w:hAnsi="Calibri" w:eastAsia="Microsoft YaHei"/>
          <w:sz w:val="22"/>
        </w:rPr>
        <w:t>完成了隐含波动率、波动率微笑、波动率曲面、期限结构及希腊字母等研究输出。</w:t>
      </w:r>
    </w:p>
    <w:p>
      <w:pPr>
        <w:pStyle w:val="ListBullet"/>
      </w:pPr>
      <w:r>
        <w:rPr>
          <w:rFonts w:ascii="Calibri" w:hAnsi="Calibri" w:eastAsia="Microsoft YaHei"/>
          <w:sz w:val="22"/>
        </w:rPr>
        <w:t>实现了针对集合竞价、午间休市、收盘后数据及无效观测值的交易时段清洗机制。</w:t>
      </w:r>
    </w:p>
    <w:p>
      <w:pPr>
        <w:pStyle w:val="ListBullet"/>
      </w:pPr>
      <w:r>
        <w:rPr>
          <w:rFonts w:ascii="Calibri" w:hAnsi="Calibri" w:eastAsia="Microsoft YaHei"/>
          <w:sz w:val="22"/>
        </w:rPr>
        <w:t>将原有的单一策略原型扩展为模块化、可注册和可维护的策略库。</w:t>
      </w:r>
    </w:p>
    <w:p>
      <w:pPr>
        <w:pStyle w:val="ListBullet"/>
      </w:pPr>
      <w:r>
        <w:rPr>
          <w:rFonts w:ascii="Calibri" w:hAnsi="Calibri" w:eastAsia="Microsoft YaHei"/>
          <w:sz w:val="22"/>
        </w:rPr>
        <w:t>构建了 PositionBook、PnL Engine、NAV Engine、Exposure Engine、Risk Monitor、Hedge Translator 和 Alert Engine。</w:t>
      </w:r>
    </w:p>
    <w:p>
      <w:pPr>
        <w:pStyle w:val="ListBullet"/>
      </w:pPr>
      <w:r>
        <w:rPr>
          <w:rFonts w:ascii="Calibri" w:hAnsi="Calibri" w:eastAsia="Microsoft YaHei"/>
          <w:sz w:val="22"/>
        </w:rPr>
        <w:t>实现了覆盖 107 个交易日的日度处理流程，并生成投资组合时间序列与研究报告。</w:t>
      </w:r>
    </w:p>
    <w:p>
      <w:pPr>
        <w:pStyle w:val="ListBullet"/>
      </w:pPr>
      <w:r>
        <w:rPr>
          <w:rFonts w:ascii="Calibri" w:hAnsi="Calibri" w:eastAsia="Microsoft YaHei"/>
          <w:sz w:val="22"/>
        </w:rPr>
        <w:t>建立了可复用的 Word 报告生成系统，为后续 GitHub 发布及双语展示提供支持。</w:t>
      </w:r>
    </w:p>
    <w:p>
      <w:r>
        <w:br w:type="page"/>
      </w:r>
    </w:p>
    <w:p>
      <w:pPr>
        <w:pStyle w:val="Heading1"/>
      </w:pPr>
      <w:r>
        <w:rPr>
          <w:rFonts w:ascii="Calibri" w:hAnsi="Calibri" w:eastAsia="Microsoft YaHei"/>
          <w:b/>
          <w:sz w:val="32"/>
        </w:rPr>
        <w:t>第一部分——研究基础</w:t>
      </w:r>
    </w:p>
    <w:p>
      <w:pPr>
        <w:pStyle w:val="Heading1"/>
      </w:pPr>
      <w:r>
        <w:rPr>
          <w:rFonts w:ascii="Calibri" w:hAnsi="Calibri" w:eastAsia="Microsoft YaHei"/>
          <w:b/>
          <w:sz w:val="32"/>
        </w:rPr>
        <w:t>1. 项目背景</w:t>
      </w:r>
    </w:p>
    <w:p>
      <w:r>
        <w:rPr>
          <w:rFonts w:ascii="Calibri" w:hAnsi="Calibri" w:eastAsia="Microsoft YaHei"/>
          <w:b w:val="0"/>
          <w:i w:val="0"/>
          <w:sz w:val="22"/>
        </w:rPr>
        <w:t>第一阶段围绕量化期权研究平台最初设定的七项研究目标展开，旨在建立一套从原始期权市场数据处理，到隐含波动率建模、希腊字母分析、策略构建、回测及稳健性检验的端到端研究流程。</w:t>
      </w:r>
    </w:p>
    <w:p>
      <w:pPr>
        <w:pStyle w:val="ListBullet"/>
      </w:pPr>
      <w:r>
        <w:rPr>
          <w:rFonts w:ascii="Calibri" w:hAnsi="Calibri" w:eastAsia="Microsoft YaHei"/>
          <w:sz w:val="22"/>
        </w:rPr>
        <w:t>市场数据获取</w:t>
      </w:r>
    </w:p>
    <w:p>
      <w:pPr>
        <w:pStyle w:val="ListBullet"/>
      </w:pPr>
      <w:r>
        <w:rPr>
          <w:rFonts w:ascii="Calibri" w:hAnsi="Calibri" w:eastAsia="Microsoft YaHei"/>
          <w:sz w:val="22"/>
        </w:rPr>
        <w:t>数据预处理</w:t>
      </w:r>
    </w:p>
    <w:p>
      <w:pPr>
        <w:pStyle w:val="ListBullet"/>
      </w:pPr>
      <w:r>
        <w:rPr>
          <w:rFonts w:ascii="Calibri" w:hAnsi="Calibri" w:eastAsia="Microsoft YaHei"/>
          <w:sz w:val="22"/>
        </w:rPr>
        <w:t>数据清洗</w:t>
      </w:r>
    </w:p>
    <w:p>
      <w:pPr>
        <w:pStyle w:val="ListBullet"/>
      </w:pPr>
      <w:r>
        <w:rPr>
          <w:rFonts w:ascii="Calibri" w:hAnsi="Calibri" w:eastAsia="Microsoft YaHei"/>
          <w:sz w:val="22"/>
        </w:rPr>
        <w:t>隐含波动率曲面与期限结构构建</w:t>
      </w:r>
    </w:p>
    <w:p>
      <w:pPr>
        <w:pStyle w:val="ListBullet"/>
      </w:pPr>
      <w:r>
        <w:rPr>
          <w:rFonts w:ascii="Calibri" w:hAnsi="Calibri" w:eastAsia="Microsoft YaHei"/>
          <w:sz w:val="22"/>
        </w:rPr>
        <w:t>策略构建</w:t>
      </w:r>
    </w:p>
    <w:p>
      <w:pPr>
        <w:pStyle w:val="ListBullet"/>
      </w:pPr>
      <w:r>
        <w:rPr>
          <w:rFonts w:ascii="Calibri" w:hAnsi="Calibri" w:eastAsia="Microsoft YaHei"/>
          <w:sz w:val="22"/>
        </w:rPr>
        <w:t>回测框架</w:t>
      </w:r>
    </w:p>
    <w:p>
      <w:pPr>
        <w:pStyle w:val="ListBullet"/>
      </w:pPr>
      <w:r>
        <w:rPr>
          <w:rFonts w:ascii="Calibri" w:hAnsi="Calibri" w:eastAsia="Microsoft YaHei"/>
          <w:sz w:val="22"/>
        </w:rPr>
        <w:t>风险与稳健性分析</w:t>
      </w:r>
    </w:p>
    <w:p>
      <w:r>
        <w:rPr>
          <w:rFonts w:ascii="Calibri" w:hAnsi="Calibri" w:eastAsia="Microsoft YaHei"/>
          <w:b w:val="0"/>
          <w:i w:val="0"/>
          <w:sz w:val="22"/>
        </w:rPr>
        <w:t>上述七项研究目标的完成，标志着本项目由若干相互独立的分析脚本，逐步发展成为一套具备数据处理、研究分析、策略验证和结果展示能力的可复现量化期权研究框架。</w:t>
      </w:r>
    </w:p>
    <w:p>
      <w:r>
        <w:br w:type="page"/>
      </w:r>
    </w:p>
    <w:p>
      <w:pPr>
        <w:pStyle w:val="Heading1"/>
      </w:pPr>
      <w:r>
        <w:rPr>
          <w:rFonts w:ascii="Calibri" w:hAnsi="Calibri" w:eastAsia="Microsoft YaHei"/>
          <w:b/>
          <w:sz w:val="32"/>
        </w:rPr>
        <w:t>2. 数据集与数据工程</w:t>
      </w:r>
    </w:p>
    <w:p>
      <w:r>
        <w:rPr>
          <w:rFonts w:ascii="Calibri" w:hAnsi="Calibri" w:eastAsia="Microsoft YaHei"/>
          <w:b w:val="0"/>
          <w:i w:val="0"/>
          <w:sz w:val="22"/>
        </w:rPr>
        <w:t>本项目使用中国股指期权与股指期货的日内市场数据。原始数据以压缩 CSV/XZ 文件形式存储，覆盖期权报价、成交记录、订单簿信息、期货价格、执行价格、到期月份及合约代码等字段。</w:t>
      </w:r>
    </w:p>
    <w:p>
      <w:pPr>
        <w:pStyle w:val="ListBullet"/>
      </w:pPr>
      <w:r>
        <w:rPr>
          <w:rFonts w:ascii="Calibri" w:hAnsi="Calibri" w:eastAsia="Microsoft YaHei"/>
          <w:sz w:val="22"/>
        </w:rPr>
        <w:t>压缩后的原始数据规模约为 8 GB。</w:t>
      </w:r>
    </w:p>
    <w:p>
      <w:pPr>
        <w:pStyle w:val="ListBullet"/>
      </w:pPr>
      <w:r>
        <w:rPr>
          <w:rFonts w:ascii="Calibri" w:hAnsi="Calibri" w:eastAsia="Microsoft YaHei"/>
          <w:sz w:val="22"/>
        </w:rPr>
        <w:t>全部解压后的数据规模超过 300 GB。</w:t>
      </w:r>
    </w:p>
    <w:p>
      <w:pPr>
        <w:pStyle w:val="ListBullet"/>
      </w:pPr>
      <w:r>
        <w:rPr>
          <w:rFonts w:ascii="Calibri" w:hAnsi="Calibri" w:eastAsia="Microsoft YaHei"/>
          <w:sz w:val="22"/>
        </w:rPr>
        <w:t>每个交易日包含多个执行价格和多个到期月份的期权合约。</w:t>
      </w:r>
    </w:p>
    <w:p>
      <w:pPr>
        <w:pStyle w:val="ListBullet"/>
      </w:pPr>
      <w:r>
        <w:rPr>
          <w:rFonts w:ascii="Calibri" w:hAnsi="Calibri" w:eastAsia="Microsoft YaHei"/>
          <w:sz w:val="22"/>
        </w:rPr>
        <w:t>Black-76 定价模型以对应期货价格作为标的资产价格输入。</w:t>
      </w:r>
    </w:p>
    <w:p>
      <w:pPr>
        <w:pStyle w:val="ListBullet"/>
      </w:pPr>
      <w:r>
        <w:rPr>
          <w:rFonts w:ascii="Calibri" w:hAnsi="Calibri" w:eastAsia="Microsoft YaHei"/>
          <w:sz w:val="22"/>
        </w:rPr>
        <w:t>中间结果使用 CSV 和 Parquet 格式保存，以兼顾可复现性与处理效率。</w:t>
      </w:r>
    </w:p>
    <w:p>
      <w:r>
        <w:br w:type="page"/>
      </w:r>
    </w:p>
    <w:p>
      <w:pPr>
        <w:pStyle w:val="Heading1"/>
      </w:pPr>
      <w:r>
        <w:rPr>
          <w:rFonts w:ascii="Calibri" w:hAnsi="Calibri" w:eastAsia="Microsoft YaHei"/>
          <w:b/>
          <w:sz w:val="32"/>
        </w:rPr>
        <w:t>3. 数据预处理与清洗</w:t>
      </w:r>
    </w:p>
    <w:p>
      <w:r>
        <w:rPr>
          <w:rFonts w:ascii="Calibri" w:hAnsi="Calibri" w:eastAsia="Microsoft YaHei"/>
          <w:b w:val="0"/>
          <w:i w:val="0"/>
          <w:sz w:val="22"/>
        </w:rPr>
        <w:t>在开展波动率估计和策略构建之前，需要对原始市场观测值进行标准化与清洗。数据预处理模块负责提取合约元数据、匹配对应期货价格、统一交易日期，并将期权价格整理为适合隐含波动率和希腊字母计算的研究数据集。</w:t>
      </w:r>
    </w:p>
    <w:p>
      <w:pPr>
        <w:pStyle w:val="ListBullet"/>
      </w:pPr>
      <w:r>
        <w:rPr>
          <w:rFonts w:ascii="Calibri" w:hAnsi="Calibri" w:eastAsia="Microsoft YaHei"/>
          <w:sz w:val="22"/>
        </w:rPr>
        <w:t>解析期权合约代码，识别看涨期权和看跌期权类型。</w:t>
      </w:r>
    </w:p>
    <w:p>
      <w:pPr>
        <w:pStyle w:val="ListBullet"/>
      </w:pPr>
      <w:r>
        <w:rPr>
          <w:rFonts w:ascii="Calibri" w:hAnsi="Calibri" w:eastAsia="Microsoft YaHei"/>
          <w:sz w:val="22"/>
        </w:rPr>
        <w:t>从合约代码中提取执行价格与到期月份。</w:t>
      </w:r>
    </w:p>
    <w:p>
      <w:pPr>
        <w:pStyle w:val="ListBullet"/>
      </w:pPr>
      <w:r>
        <w:rPr>
          <w:rFonts w:ascii="Calibri" w:hAnsi="Calibri" w:eastAsia="Microsoft YaHei"/>
          <w:sz w:val="22"/>
        </w:rPr>
        <w:t>将期权观测值与对应期货价格进行匹配。</w:t>
      </w:r>
    </w:p>
    <w:p>
      <w:pPr>
        <w:pStyle w:val="ListBullet"/>
      </w:pPr>
      <w:r>
        <w:rPr>
          <w:rFonts w:ascii="Calibri" w:hAnsi="Calibri" w:eastAsia="Microsoft YaHei"/>
          <w:sz w:val="22"/>
        </w:rPr>
        <w:t>识别缺失或不完整的成交记录。</w:t>
      </w:r>
    </w:p>
    <w:p>
      <w:pPr>
        <w:pStyle w:val="ListBullet"/>
      </w:pPr>
      <w:r>
        <w:rPr>
          <w:rFonts w:ascii="Calibri" w:hAnsi="Calibri" w:eastAsia="Microsoft YaHei"/>
          <w:sz w:val="22"/>
        </w:rPr>
        <w:t>识别不可用或无效的期权价格。</w:t>
      </w:r>
    </w:p>
    <w:p>
      <w:pPr>
        <w:pStyle w:val="ListBullet"/>
      </w:pPr>
      <w:r>
        <w:rPr>
          <w:rFonts w:ascii="Calibri" w:hAnsi="Calibri" w:eastAsia="Microsoft YaHei"/>
          <w:sz w:val="22"/>
        </w:rPr>
        <w:t>检查隐含波动率求解是否收敛，并识别异常 IV 数值。</w:t>
      </w:r>
    </w:p>
    <w:p>
      <w:pPr>
        <w:pStyle w:val="ListBullet"/>
      </w:pPr>
      <w:r>
        <w:rPr>
          <w:rFonts w:ascii="Calibri" w:hAnsi="Calibri" w:eastAsia="Microsoft YaHei"/>
          <w:sz w:val="22"/>
        </w:rPr>
        <w:t>验证波动率微笑、曲面、期限结构和希腊字母数据集。</w:t>
      </w:r>
    </w:p>
    <w:p>
      <w:r>
        <w:rPr>
          <w:rFonts w:ascii="Calibri" w:hAnsi="Calibri" w:eastAsia="Microsoft YaHei"/>
          <w:b w:val="0"/>
          <w:i w:val="0"/>
          <w:sz w:val="22"/>
        </w:rPr>
        <w:t>通过上述处理，后续波动率分析、信号生成和策略模块能够基于内部结构一致、字段标准统一的研究数据集运行。</w:t>
      </w:r>
    </w:p>
    <w:p>
      <w:r>
        <w:br w:type="page"/>
      </w:r>
    </w:p>
    <w:p>
      <w:pPr>
        <w:pStyle w:val="Heading1"/>
      </w:pPr>
      <w:r>
        <w:rPr>
          <w:rFonts w:ascii="Calibri" w:hAnsi="Calibri" w:eastAsia="Microsoft YaHei"/>
          <w:b/>
          <w:sz w:val="32"/>
        </w:rPr>
        <w:t>4. 波动率分析</w:t>
      </w:r>
    </w:p>
    <w:p>
      <w:r>
        <w:rPr>
          <w:rFonts w:ascii="Calibri" w:hAnsi="Calibri" w:eastAsia="Microsoft YaHei"/>
          <w:b w:val="0"/>
          <w:i w:val="0"/>
          <w:sz w:val="22"/>
        </w:rPr>
        <w:t>波动率分析模块采用 Black-76 模型估计期权隐含波动率，并研究隐含波动率的经验分布、波动率微笑、波动率曲面及期限结构。相关输出构成策略构建和投资组合风险分析的量化基础。</w:t>
      </w:r>
    </w:p>
    <w:p>
      <w:pPr>
        <w:pStyle w:val="Heading2"/>
      </w:pPr>
      <w:r>
        <w:rPr>
          <w:rFonts w:ascii="Calibri" w:hAnsi="Calibri" w:eastAsia="Microsoft YaHei"/>
          <w:b/>
          <w:sz w:val="26"/>
        </w:rPr>
        <w:t>4.1 Black-76 隐含波动率</w:t>
      </w:r>
    </w:p>
    <w:p>
      <w:r>
        <w:rPr>
          <w:rFonts w:ascii="Calibri" w:hAnsi="Calibri" w:eastAsia="Microsoft YaHei"/>
          <w:b w:val="0"/>
          <w:i w:val="0"/>
          <w:sz w:val="22"/>
        </w:rPr>
        <w:t>由于本项目以期货价格作为标的资产价格，因此采用 Black-76 模型进行期权定价。通过对市场期权价格进行数值反解，可以得到隐含波动率。该指标随后被用于波动率微笑、曲面、期限结构、信号和希腊字母分析。</w:t>
      </w:r>
    </w:p>
    <w:p>
      <w:pPr>
        <w:pStyle w:val="Heading2"/>
      </w:pPr>
      <w:r>
        <w:rPr>
          <w:rFonts w:ascii="Calibri" w:hAnsi="Calibri" w:eastAsia="Microsoft YaHei"/>
          <w:b/>
          <w:sz w:val="26"/>
        </w:rPr>
        <w:t>4.2 隐含波动率分布</w:t>
      </w:r>
    </w:p>
    <w:p>
      <w:r>
        <w:rPr>
          <w:rFonts w:ascii="Calibri" w:hAnsi="Calibri" w:eastAsia="Microsoft YaHei"/>
          <w:b w:val="0"/>
          <w:i w:val="0"/>
          <w:sz w:val="22"/>
        </w:rPr>
        <w:t>在分析横截面波动率结构之前，本研究首先考察隐含波动率的经验分布。直方图用于展示隐含波动率观测值的整体分布形态，箱线图则用于识别中位数、离散程度及潜在极端值。</w:t>
      </w:r>
    </w:p>
    <w:p>
      <w:pPr>
        <w:jc w:val="center"/>
      </w:pPr>
      <w:r>
        <w:rPr>
          <w:rFonts w:ascii="Calibri" w:hAnsi="Calibri" w:eastAsia="Microsoft YaHei"/>
          <w:b/>
          <w:sz w:val="20"/>
        </w:rPr>
        <w:t>图 4.1 隐含波动率分布</w:t>
      </w:r>
    </w:p>
    <w:p>
      <w:pPr>
        <w:jc w:val="center"/>
      </w:pPr>
      <w:r>
        <w:drawing>
          <wp:inline xmlns:a="http://schemas.openxmlformats.org/drawingml/2006/main" xmlns:pic="http://schemas.openxmlformats.org/drawingml/2006/picture">
            <wp:extent cx="5943600" cy="3538143"/>
            <wp:docPr id="1" name="Picture 1"/>
            <wp:cNvGraphicFramePr>
              <a:graphicFrameLocks noChangeAspect="1"/>
            </wp:cNvGraphicFramePr>
            <a:graphic>
              <a:graphicData uri="http://schemas.openxmlformats.org/drawingml/2006/picture">
                <pic:pic>
                  <pic:nvPicPr>
                    <pic:cNvPr id="0" name="iv_distribution_histogram.png"/>
                    <pic:cNvPicPr/>
                  </pic:nvPicPr>
                  <pic:blipFill>
                    <a:blip r:embed="rId9"/>
                    <a:stretch>
                      <a:fillRect/>
                    </a:stretch>
                  </pic:blipFill>
                  <pic:spPr>
                    <a:xfrm>
                      <a:off x="0" y="0"/>
                      <a:ext cx="5943600" cy="3538143"/>
                    </a:xfrm>
                    <a:prstGeom prst="rect"/>
                  </pic:spPr>
                </pic:pic>
              </a:graphicData>
            </a:graphic>
          </wp:inline>
        </w:drawing>
      </w:r>
    </w:p>
    <w:p>
      <w:pPr>
        <w:jc w:val="center"/>
      </w:pPr>
      <w:r>
        <w:rPr>
          <w:rFonts w:ascii="Calibri" w:hAnsi="Calibri" w:eastAsia="Microsoft YaHei"/>
          <w:i/>
          <w:sz w:val="18"/>
        </w:rPr>
        <w:t>研究样本中隐含波动率观测值的经验分布。该图展示了估计 IV 的主要集中区间、离散程度及右尾特征。</w:t>
      </w:r>
    </w:p>
    <w:p>
      <w:pPr>
        <w:jc w:val="center"/>
      </w:pPr>
      <w:r>
        <w:rPr>
          <w:rFonts w:ascii="Calibri" w:hAnsi="Calibri" w:eastAsia="Microsoft YaHei"/>
          <w:b/>
          <w:sz w:val="20"/>
        </w:rPr>
        <w:t>图 4.2 隐含波动率箱线图</w:t>
      </w:r>
    </w:p>
    <w:p>
      <w:pPr>
        <w:jc w:val="center"/>
      </w:pPr>
      <w:r>
        <w:drawing>
          <wp:inline xmlns:a="http://schemas.openxmlformats.org/drawingml/2006/main" xmlns:pic="http://schemas.openxmlformats.org/drawingml/2006/picture">
            <wp:extent cx="5943600" cy="4436383"/>
            <wp:docPr id="2" name="Picture 2"/>
            <wp:cNvGraphicFramePr>
              <a:graphicFrameLocks noChangeAspect="1"/>
            </wp:cNvGraphicFramePr>
            <a:graphic>
              <a:graphicData uri="http://schemas.openxmlformats.org/drawingml/2006/picture">
                <pic:pic>
                  <pic:nvPicPr>
                    <pic:cNvPr id="0" name="iv_distribution_boxplot.png"/>
                    <pic:cNvPicPr/>
                  </pic:nvPicPr>
                  <pic:blipFill>
                    <a:blip r:embed="rId10"/>
                    <a:stretch>
                      <a:fillRect/>
                    </a:stretch>
                  </pic:blipFill>
                  <pic:spPr>
                    <a:xfrm>
                      <a:off x="0" y="0"/>
                      <a:ext cx="5943600" cy="4436383"/>
                    </a:xfrm>
                    <a:prstGeom prst="rect"/>
                  </pic:spPr>
                </pic:pic>
              </a:graphicData>
            </a:graphic>
          </wp:inline>
        </w:drawing>
      </w:r>
    </w:p>
    <w:p>
      <w:pPr>
        <w:jc w:val="center"/>
      </w:pPr>
      <w:r>
        <w:rPr>
          <w:rFonts w:ascii="Calibri" w:hAnsi="Calibri" w:eastAsia="Microsoft YaHei"/>
          <w:i/>
          <w:sz w:val="18"/>
        </w:rPr>
        <w:t>隐含波动率观测值的箱线图，展示样本中位数、四分位区间以及可能存在的极端观测值。</w:t>
      </w:r>
    </w:p>
    <w:p>
      <w:pPr>
        <w:pStyle w:val="Heading2"/>
      </w:pPr>
      <w:r>
        <w:rPr>
          <w:rFonts w:ascii="Calibri" w:hAnsi="Calibri" w:eastAsia="Microsoft YaHei"/>
          <w:b/>
          <w:sz w:val="26"/>
        </w:rPr>
        <w:t>4.3 波动率微笑</w:t>
      </w:r>
    </w:p>
    <w:p>
      <w:r>
        <w:rPr>
          <w:rFonts w:ascii="Calibri" w:hAnsi="Calibri" w:eastAsia="Microsoft YaHei"/>
          <w:b w:val="0"/>
          <w:i w:val="0"/>
          <w:sz w:val="22"/>
        </w:rPr>
        <w:t>本研究按照价内外程度对隐含波动率观测值进行分组，从而构建波动率微笑。结果显示，波动率在两侧翼部均有所抬升，其中低价内外程度一侧更为明显，反映市场对下行尾部风险保护的需求。</w:t>
      </w:r>
    </w:p>
    <w:p>
      <w:pPr>
        <w:jc w:val="center"/>
      </w:pPr>
      <w:r>
        <w:rPr>
          <w:rFonts w:ascii="Calibri" w:hAnsi="Calibri" w:eastAsia="Microsoft YaHei"/>
          <w:b/>
          <w:sz w:val="20"/>
        </w:rPr>
        <w:t>图 4.3 近月期权波动率微笑</w:t>
      </w:r>
    </w:p>
    <w:p>
      <w:pPr>
        <w:jc w:val="center"/>
      </w:pPr>
      <w:r>
        <w:drawing>
          <wp:inline xmlns:a="http://schemas.openxmlformats.org/drawingml/2006/main" xmlns:pic="http://schemas.openxmlformats.org/drawingml/2006/picture">
            <wp:extent cx="5943600" cy="3954798"/>
            <wp:docPr id="3" name="Picture 3"/>
            <wp:cNvGraphicFramePr>
              <a:graphicFrameLocks noChangeAspect="1"/>
            </wp:cNvGraphicFramePr>
            <a:graphic>
              <a:graphicData uri="http://schemas.openxmlformats.org/drawingml/2006/picture">
                <pic:pic>
                  <pic:nvPicPr>
                    <pic:cNvPr id="0" name="smile_bucket_overall.png"/>
                    <pic:cNvPicPr/>
                  </pic:nvPicPr>
                  <pic:blipFill>
                    <a:blip r:embed="rId11"/>
                    <a:stretch>
                      <a:fillRect/>
                    </a:stretch>
                  </pic:blipFill>
                  <pic:spPr>
                    <a:xfrm>
                      <a:off x="0" y="0"/>
                      <a:ext cx="5943600" cy="3954798"/>
                    </a:xfrm>
                    <a:prstGeom prst="rect"/>
                  </pic:spPr>
                </pic:pic>
              </a:graphicData>
            </a:graphic>
          </wp:inline>
        </w:drawing>
      </w:r>
    </w:p>
    <w:p>
      <w:pPr>
        <w:jc w:val="center"/>
      </w:pPr>
      <w:r>
        <w:rPr>
          <w:rFonts w:ascii="Calibri" w:hAnsi="Calibri" w:eastAsia="Microsoft YaHei"/>
          <w:i/>
          <w:sz w:val="18"/>
        </w:rPr>
        <w:t>近月期权在不同价内外程度分组下的平均隐含波动率。左侧翼部明显抬升，表明较低价内外程度期权具有更高的隐含波动率。</w:t>
      </w:r>
    </w:p>
    <w:p>
      <w:r>
        <w:rPr>
          <w:rFonts w:ascii="Calibri" w:hAnsi="Calibri" w:eastAsia="Microsoft YaHei"/>
          <w:b w:val="0"/>
          <w:i w:val="0"/>
          <w:sz w:val="22"/>
        </w:rPr>
        <w:t>波动率微笑表明，隐含波动率并非常数，而是随执行价格和价内外程度发生变化。因此，策略构建需要考虑执行价格维度，不能仅依赖单一的ATM 隐含波动率指标。</w:t>
      </w:r>
    </w:p>
    <w:p>
      <w:pPr>
        <w:pStyle w:val="Heading2"/>
      </w:pPr>
      <w:r>
        <w:rPr>
          <w:rFonts w:ascii="Calibri" w:hAnsi="Calibri" w:eastAsia="Microsoft YaHei"/>
          <w:b/>
          <w:sz w:val="26"/>
        </w:rPr>
        <w:t>4.4 波动率曲面</w:t>
      </w:r>
    </w:p>
    <w:p>
      <w:r>
        <w:rPr>
          <w:rFonts w:ascii="Calibri" w:hAnsi="Calibri" w:eastAsia="Microsoft YaHei"/>
          <w:b w:val="0"/>
          <w:i w:val="0"/>
          <w:sz w:val="22"/>
        </w:rPr>
        <w:t>波动率曲面同时刻画执行价格和到期时间两个维度上的隐含波动率。该二维结构能够综合展示期权市场如何在不同价内外程度和剩余期限下反映风险定价。</w:t>
      </w:r>
    </w:p>
    <w:p>
      <w:pPr>
        <w:jc w:val="center"/>
      </w:pPr>
      <w:r>
        <w:rPr>
          <w:rFonts w:ascii="Calibri" w:hAnsi="Calibri" w:eastAsia="Microsoft YaHei"/>
          <w:b/>
          <w:sz w:val="20"/>
        </w:rPr>
        <w:t>图 4.4 近月期权隐含波动率曲面</w:t>
      </w:r>
    </w:p>
    <w:p>
      <w:pPr>
        <w:jc w:val="center"/>
      </w:pPr>
      <w:r>
        <w:drawing>
          <wp:inline xmlns:a="http://schemas.openxmlformats.org/drawingml/2006/main" xmlns:pic="http://schemas.openxmlformats.org/drawingml/2006/picture">
            <wp:extent cx="5943600" cy="2789885"/>
            <wp:docPr id="4" name="Picture 4"/>
            <wp:cNvGraphicFramePr>
              <a:graphicFrameLocks noChangeAspect="1"/>
            </wp:cNvGraphicFramePr>
            <a:graphic>
              <a:graphicData uri="http://schemas.openxmlformats.org/drawingml/2006/picture">
                <pic:pic>
                  <pic:nvPicPr>
                    <pic:cNvPr id="0" name="surface_heatmap_near_h1.png"/>
                    <pic:cNvPicPr/>
                  </pic:nvPicPr>
                  <pic:blipFill>
                    <a:blip r:embed="rId12"/>
                    <a:stretch>
                      <a:fillRect/>
                    </a:stretch>
                  </pic:blipFill>
                  <pic:spPr>
                    <a:xfrm>
                      <a:off x="0" y="0"/>
                      <a:ext cx="5943600" cy="2789885"/>
                    </a:xfrm>
                    <a:prstGeom prst="rect"/>
                  </pic:spPr>
                </pic:pic>
              </a:graphicData>
            </a:graphic>
          </wp:inline>
        </w:drawing>
      </w:r>
    </w:p>
    <w:p>
      <w:pPr>
        <w:jc w:val="center"/>
      </w:pPr>
      <w:r>
        <w:rPr>
          <w:rFonts w:ascii="Calibri" w:hAnsi="Calibri" w:eastAsia="Microsoft YaHei"/>
          <w:i/>
          <w:sz w:val="18"/>
        </w:rPr>
        <w:t>不同交易日和不同价内外程度分组下的近月隐含波动率。热力图同时展示了波动率曲面的时间序列变化和横截面结构。</w:t>
      </w:r>
    </w:p>
    <w:p>
      <w:r>
        <w:rPr>
          <w:rFonts w:ascii="Calibri" w:hAnsi="Calibri" w:eastAsia="Microsoft YaHei"/>
          <w:b w:val="0"/>
          <w:i w:val="0"/>
          <w:sz w:val="22"/>
        </w:rPr>
        <w:t>波动率曲面将波动率微笑和期限结构统一在同一分析对象中，对日历价差、到期月份选择及波动率状态识别具有重要意义。</w:t>
      </w:r>
    </w:p>
    <w:p>
      <w:pPr>
        <w:pStyle w:val="Heading2"/>
      </w:pPr>
      <w:r>
        <w:rPr>
          <w:rFonts w:ascii="Calibri" w:hAnsi="Calibri" w:eastAsia="Microsoft YaHei"/>
          <w:b/>
          <w:sz w:val="26"/>
        </w:rPr>
        <w:t>4.5 ATM 隐含波动率期限结构</w:t>
      </w:r>
    </w:p>
    <w:p>
      <w:r>
        <w:rPr>
          <w:rFonts w:ascii="Calibri" w:hAnsi="Calibri" w:eastAsia="Microsoft YaHei"/>
          <w:b w:val="0"/>
          <w:i w:val="0"/>
          <w:sz w:val="22"/>
        </w:rPr>
        <w:t>ATM 隐含波动率期限结构通过汇总不同到期月份的平值期权隐含波动率构建，用于描述隐含波动率从近月到远月的变化关系。</w:t>
      </w:r>
    </w:p>
    <w:p>
      <w:pPr>
        <w:jc w:val="center"/>
      </w:pPr>
      <w:r>
        <w:rPr>
          <w:rFonts w:ascii="Calibri" w:hAnsi="Calibri" w:eastAsia="Microsoft YaHei"/>
          <w:b/>
          <w:sz w:val="20"/>
        </w:rPr>
        <w:t>图 4.5 ATM 隐含波动率期限结构</w:t>
      </w:r>
    </w:p>
    <w:p>
      <w:pPr>
        <w:jc w:val="center"/>
      </w:pPr>
      <w:r>
        <w:drawing>
          <wp:inline xmlns:a="http://schemas.openxmlformats.org/drawingml/2006/main" xmlns:pic="http://schemas.openxmlformats.org/drawingml/2006/picture">
            <wp:extent cx="5943600" cy="3635406"/>
            <wp:docPr id="5" name="Picture 5"/>
            <wp:cNvGraphicFramePr>
              <a:graphicFrameLocks noChangeAspect="1"/>
            </wp:cNvGraphicFramePr>
            <a:graphic>
              <a:graphicData uri="http://schemas.openxmlformats.org/drawingml/2006/picture">
                <pic:pic>
                  <pic:nvPicPr>
                    <pic:cNvPr id="0" name="atm_term_structure_overall.png"/>
                    <pic:cNvPicPr/>
                  </pic:nvPicPr>
                  <pic:blipFill>
                    <a:blip r:embed="rId13"/>
                    <a:stretch>
                      <a:fillRect/>
                    </a:stretch>
                  </pic:blipFill>
                  <pic:spPr>
                    <a:xfrm>
                      <a:off x="0" y="0"/>
                      <a:ext cx="5943600" cy="3635406"/>
                    </a:xfrm>
                    <a:prstGeom prst="rect"/>
                  </pic:spPr>
                </pic:pic>
              </a:graphicData>
            </a:graphic>
          </wp:inline>
        </w:drawing>
      </w:r>
    </w:p>
    <w:p>
      <w:pPr>
        <w:jc w:val="center"/>
      </w:pPr>
      <w:r>
        <w:rPr>
          <w:rFonts w:ascii="Calibri" w:hAnsi="Calibri" w:eastAsia="Microsoft YaHei"/>
          <w:i/>
          <w:sz w:val="18"/>
        </w:rPr>
        <w:t>不同到期顺序下的平均 ATM 隐含波动率。该曲线展示了期权隐含波动率由近月向远月变化的总体特征。</w:t>
      </w:r>
    </w:p>
    <w:p>
      <w:r>
        <w:rPr>
          <w:rFonts w:ascii="Calibri" w:hAnsi="Calibri" w:eastAsia="Microsoft YaHei"/>
          <w:b w:val="0"/>
          <w:i w:val="0"/>
          <w:sz w:val="22"/>
        </w:rPr>
        <w:t>ATM 隐含波动率期限结构为日历价差策略提供了直接的实证基础，因为此类策略的收益与近月和远月期权之间的相对定价密切相关。</w:t>
      </w:r>
    </w:p>
    <w:p>
      <w:pPr>
        <w:pStyle w:val="Heading2"/>
      </w:pPr>
      <w:r>
        <w:rPr>
          <w:rFonts w:ascii="Calibri" w:hAnsi="Calibri" w:eastAsia="Microsoft YaHei"/>
          <w:b/>
          <w:sz w:val="26"/>
        </w:rPr>
        <w:t>4.6 主要结论</w:t>
      </w:r>
    </w:p>
    <w:p>
      <w:pPr>
        <w:pStyle w:val="ListBullet"/>
      </w:pPr>
      <w:r>
        <w:rPr>
          <w:rFonts w:ascii="Calibri" w:hAnsi="Calibri" w:eastAsia="Microsoft YaHei"/>
          <w:sz w:val="22"/>
        </w:rPr>
        <w:t>隐含波动率观测值在样本中呈现较为明显的离散特征。</w:t>
      </w:r>
    </w:p>
    <w:p>
      <w:pPr>
        <w:pStyle w:val="ListBullet"/>
      </w:pPr>
      <w:r>
        <w:rPr>
          <w:rFonts w:ascii="Calibri" w:hAnsi="Calibri" w:eastAsia="Microsoft YaHei"/>
          <w:sz w:val="22"/>
        </w:rPr>
        <w:t>波动率微笑整体呈现 U 型结构。</w:t>
      </w:r>
    </w:p>
    <w:p>
      <w:pPr>
        <w:pStyle w:val="ListBullet"/>
      </w:pPr>
      <w:r>
        <w:rPr>
          <w:rFonts w:ascii="Calibri" w:hAnsi="Calibri" w:eastAsia="Microsoft YaHei"/>
          <w:sz w:val="22"/>
        </w:rPr>
        <w:t>左侧尾部隐含波动率更高，反映市场对下行风险保护的需求。</w:t>
      </w:r>
    </w:p>
    <w:p>
      <w:pPr>
        <w:pStyle w:val="ListBullet"/>
      </w:pPr>
      <w:r>
        <w:rPr>
          <w:rFonts w:ascii="Calibri" w:hAnsi="Calibri" w:eastAsia="Microsoft YaHei"/>
          <w:sz w:val="22"/>
        </w:rPr>
        <w:t>波动率曲面同时刻画了价内外程度效应和期限效应。</w:t>
      </w:r>
    </w:p>
    <w:p>
      <w:pPr>
        <w:pStyle w:val="ListBullet"/>
      </w:pPr>
      <w:r>
        <w:rPr>
          <w:rFonts w:ascii="Calibri" w:hAnsi="Calibri" w:eastAsia="Microsoft YaHei"/>
          <w:sz w:val="22"/>
        </w:rPr>
        <w:t>ATM 隐含波动率期限结构整体呈现一定程度的向上倾斜。</w:t>
      </w:r>
    </w:p>
    <w:p>
      <w:pPr>
        <w:pStyle w:val="ListBullet"/>
      </w:pPr>
      <w:r>
        <w:rPr>
          <w:rFonts w:ascii="Calibri" w:hAnsi="Calibri" w:eastAsia="Microsoft YaHei"/>
          <w:sz w:val="22"/>
        </w:rPr>
        <w:t>短期限期权表现出更强的价格扭曲和风险敏感性。</w:t>
      </w:r>
    </w:p>
    <w:p>
      <w:pPr>
        <w:pStyle w:val="ListBullet"/>
      </w:pPr>
      <w:r>
        <w:rPr>
          <w:rFonts w:ascii="Calibri" w:hAnsi="Calibri" w:eastAsia="Microsoft YaHei"/>
          <w:sz w:val="22"/>
        </w:rPr>
        <w:t>上述波动率结构为策略构建提供了实证基础。</w:t>
      </w:r>
    </w:p>
    <w:p>
      <w:r>
        <w:br w:type="page"/>
      </w:r>
    </w:p>
    <w:p>
      <w:pPr>
        <w:pStyle w:val="Heading1"/>
      </w:pPr>
      <w:r>
        <w:rPr>
          <w:rFonts w:ascii="Calibri" w:hAnsi="Calibri" w:eastAsia="Microsoft YaHei"/>
          <w:b/>
          <w:sz w:val="32"/>
        </w:rPr>
        <w:t>5. 信号方法论</w:t>
      </w:r>
    </w:p>
    <w:p>
      <w:r>
        <w:rPr>
          <w:rFonts w:ascii="Calibri" w:hAnsi="Calibri" w:eastAsia="Microsoft YaHei"/>
          <w:b w:val="0"/>
          <w:i w:val="0"/>
          <w:sz w:val="22"/>
        </w:rPr>
        <w:t>第一阶段的策略原型使用若干波动率相关指标识别潜在开仓时点。当前信号框架仍处于研究阶段，不应被解释为已经完成生产化验证的最终 Alpha 模型。</w:t>
      </w:r>
    </w:p>
    <w:p>
      <w:pPr>
        <w:pStyle w:val="Heading2"/>
      </w:pPr>
      <w:r>
        <w:rPr>
          <w:rFonts w:ascii="Calibri" w:hAnsi="Calibri" w:eastAsia="Microsoft YaHei"/>
          <w:b/>
          <w:sz w:val="26"/>
        </w:rPr>
        <w:t>5.1 信号输入</w:t>
      </w:r>
    </w:p>
    <w:p>
      <w:pPr>
        <w:pStyle w:val="ListBullet"/>
      </w:pPr>
      <w:r>
        <w:rPr>
          <w:rFonts w:ascii="Calibri" w:hAnsi="Calibri" w:eastAsia="Microsoft YaHei"/>
          <w:sz w:val="22"/>
        </w:rPr>
        <w:t>ATM 隐含波动率</w:t>
      </w:r>
    </w:p>
    <w:p>
      <w:pPr>
        <w:pStyle w:val="ListBullet"/>
      </w:pPr>
      <w:r>
        <w:rPr>
          <w:rFonts w:ascii="Calibri" w:hAnsi="Calibri" w:eastAsia="Microsoft YaHei"/>
          <w:sz w:val="22"/>
        </w:rPr>
        <w:t>隐含波动率 z-score</w:t>
      </w:r>
    </w:p>
    <w:p>
      <w:pPr>
        <w:pStyle w:val="ListBullet"/>
      </w:pPr>
      <w:r>
        <w:rPr>
          <w:rFonts w:ascii="Calibri" w:hAnsi="Calibri" w:eastAsia="Microsoft YaHei"/>
          <w:sz w:val="22"/>
        </w:rPr>
        <w:t>期限结构斜率</w:t>
      </w:r>
    </w:p>
    <w:p>
      <w:pPr>
        <w:pStyle w:val="ListBullet"/>
      </w:pPr>
      <w:r>
        <w:rPr>
          <w:rFonts w:ascii="Calibri" w:hAnsi="Calibri" w:eastAsia="Microsoft YaHei"/>
          <w:sz w:val="22"/>
        </w:rPr>
        <w:t>信号评分</w:t>
      </w:r>
    </w:p>
    <w:p>
      <w:pPr>
        <w:pStyle w:val="ListBullet"/>
      </w:pPr>
      <w:r>
        <w:rPr>
          <w:rFonts w:ascii="Calibri" w:hAnsi="Calibri" w:eastAsia="Microsoft YaHei"/>
          <w:sz w:val="22"/>
        </w:rPr>
        <w:t>开仓阈值</w:t>
      </w:r>
    </w:p>
    <w:p>
      <w:pPr>
        <w:pStyle w:val="Heading2"/>
      </w:pPr>
      <w:r>
        <w:rPr>
          <w:rFonts w:ascii="Calibri" w:hAnsi="Calibri" w:eastAsia="Microsoft YaHei"/>
          <w:b/>
          <w:sz w:val="26"/>
        </w:rPr>
        <w:t>5.2 信号评分与阈值</w:t>
      </w:r>
    </w:p>
    <w:p>
      <w:r>
        <w:rPr>
          <w:rFonts w:ascii="Calibri" w:hAnsi="Calibri" w:eastAsia="Microsoft YaHei"/>
          <w:b w:val="0"/>
          <w:i w:val="0"/>
          <w:sz w:val="22"/>
        </w:rPr>
        <w:t>系统首先根据波动率相关特征计算 signal_score。数值 80 并非直接由某一市场变量计算得到，而是应用于信号评分的开仓阈值。当 signal_score 大于或等于 80 时，策略认为当前信号强度已达到开仓条件。</w:t>
      </w:r>
    </w:p>
    <w:p>
      <w:pPr>
        <w:pStyle w:val="Heading2"/>
      </w:pPr>
      <w:r>
        <w:rPr>
          <w:rFonts w:ascii="Calibri" w:hAnsi="Calibri" w:eastAsia="Microsoft YaHei"/>
          <w:b/>
          <w:sz w:val="26"/>
        </w:rPr>
        <w:t>5.3 当前局限</w:t>
      </w:r>
    </w:p>
    <w:p>
      <w:r>
        <w:rPr>
          <w:rFonts w:ascii="Calibri" w:hAnsi="Calibri" w:eastAsia="Microsoft YaHei"/>
          <w:b w:val="0"/>
          <w:i w:val="0"/>
          <w:sz w:val="22"/>
        </w:rPr>
        <w:t>在正式的 Signal Engine 完成之前，signal_score 的具体计算公式仍需进一步依据源代码进行标准化记录。现阶段应将信号阈值视为研究参数，而不是已经完成充分统计检验的生产参数。</w:t>
      </w:r>
    </w:p>
    <w:p>
      <w:r>
        <w:br w:type="page"/>
      </w:r>
    </w:p>
    <w:p>
      <w:pPr>
        <w:pStyle w:val="Heading1"/>
      </w:pPr>
      <w:r>
        <w:rPr>
          <w:rFonts w:ascii="Calibri" w:hAnsi="Calibri" w:eastAsia="Microsoft YaHei"/>
          <w:b/>
          <w:sz w:val="32"/>
        </w:rPr>
        <w:t>6. 策略构建</w:t>
      </w:r>
    </w:p>
    <w:p>
      <w:r>
        <w:rPr>
          <w:rFonts w:ascii="Calibri" w:hAnsi="Calibri" w:eastAsia="Microsoft YaHei"/>
          <w:b w:val="0"/>
          <w:i w:val="0"/>
          <w:sz w:val="22"/>
        </w:rPr>
        <w:t>第一阶段的策略原型将波动率信号转化为具体期权持仓。初始实现主要采用基于信号的 ATM 跨式或宽跨式结构，以构建方向性较低、波动率敏感度较高的期权组合。</w:t>
      </w:r>
    </w:p>
    <w:p>
      <w:pPr>
        <w:pStyle w:val="Heading2"/>
      </w:pPr>
      <w:r>
        <w:rPr>
          <w:rFonts w:ascii="Calibri" w:hAnsi="Calibri" w:eastAsia="Microsoft YaHei"/>
          <w:b/>
          <w:sz w:val="26"/>
        </w:rPr>
        <w:t>6.1 开仓规则</w:t>
      </w:r>
    </w:p>
    <w:p>
      <w:r>
        <w:rPr>
          <w:rFonts w:ascii="Calibri" w:hAnsi="Calibri" w:eastAsia="Microsoft YaHei"/>
          <w:b w:val="0"/>
          <w:i w:val="0"/>
          <w:sz w:val="22"/>
        </w:rPr>
        <w:t>当信号评分超过预设开仓阈值时，策略建立新的期权持仓。</w:t>
      </w:r>
    </w:p>
    <w:p>
      <w:pPr>
        <w:pStyle w:val="Heading2"/>
      </w:pPr>
      <w:r>
        <w:rPr>
          <w:rFonts w:ascii="Calibri" w:hAnsi="Calibri" w:eastAsia="Microsoft YaHei"/>
          <w:b/>
          <w:sz w:val="26"/>
        </w:rPr>
        <w:t>6.2 持仓结构</w:t>
      </w:r>
    </w:p>
    <w:p>
      <w:pPr>
        <w:pStyle w:val="ListBullet"/>
      </w:pPr>
      <w:r>
        <w:rPr>
          <w:rFonts w:ascii="Calibri" w:hAnsi="Calibri" w:eastAsia="Microsoft YaHei"/>
          <w:sz w:val="22"/>
        </w:rPr>
        <w:t>买入 ATM 看涨期权</w:t>
      </w:r>
    </w:p>
    <w:p>
      <w:pPr>
        <w:pStyle w:val="ListBullet"/>
      </w:pPr>
      <w:r>
        <w:rPr>
          <w:rFonts w:ascii="Calibri" w:hAnsi="Calibri" w:eastAsia="Microsoft YaHei"/>
          <w:sz w:val="22"/>
        </w:rPr>
        <w:t>买入 ATM 看跌期权</w:t>
      </w:r>
    </w:p>
    <w:p>
      <w:pPr>
        <w:pStyle w:val="ListBullet"/>
      </w:pPr>
      <w:r>
        <w:rPr>
          <w:rFonts w:ascii="Calibri" w:hAnsi="Calibri" w:eastAsia="Microsoft YaHei"/>
          <w:sz w:val="22"/>
        </w:rPr>
        <w:t>建立多头波动率敞口</w:t>
      </w:r>
    </w:p>
    <w:p>
      <w:pPr>
        <w:pStyle w:val="ListBullet"/>
      </w:pPr>
      <w:r>
        <w:rPr>
          <w:rFonts w:ascii="Calibri" w:hAnsi="Calibri" w:eastAsia="Microsoft YaHei"/>
          <w:sz w:val="22"/>
        </w:rPr>
        <w:t>相较于直接持有期货，降低组合的初始方向性偏差</w:t>
      </w:r>
    </w:p>
    <w:p>
      <w:pPr>
        <w:pStyle w:val="ListBullet"/>
      </w:pPr>
      <w:r>
        <w:rPr>
          <w:rFonts w:ascii="Calibri" w:hAnsi="Calibri" w:eastAsia="Microsoft YaHei"/>
          <w:sz w:val="22"/>
        </w:rPr>
        <w:t>在标的资产出现较大幅度波动时获得正向收益潜力</w:t>
      </w:r>
    </w:p>
    <w:p>
      <w:pPr>
        <w:pStyle w:val="Heading2"/>
      </w:pPr>
      <w:r>
        <w:rPr>
          <w:rFonts w:ascii="Calibri" w:hAnsi="Calibri" w:eastAsia="Microsoft YaHei"/>
          <w:b/>
          <w:sz w:val="26"/>
        </w:rPr>
        <w:t>6.3 平仓规则</w:t>
      </w:r>
    </w:p>
    <w:p>
      <w:r>
        <w:rPr>
          <w:rFonts w:ascii="Calibri" w:hAnsi="Calibri" w:eastAsia="Microsoft YaHei"/>
          <w:b w:val="0"/>
          <w:i w:val="0"/>
          <w:sz w:val="22"/>
        </w:rPr>
        <w:t>当信号强度减弱，或持仓达到预设的最大持有期限时，策略平仓。</w:t>
      </w:r>
    </w:p>
    <w:p>
      <w:pPr>
        <w:pStyle w:val="Heading2"/>
      </w:pPr>
      <w:r>
        <w:rPr>
          <w:rFonts w:ascii="Calibri" w:hAnsi="Calibri" w:eastAsia="Microsoft YaHei"/>
          <w:b/>
          <w:sz w:val="26"/>
        </w:rPr>
        <w:t>6.4 综合评价</w:t>
      </w:r>
    </w:p>
    <w:p>
      <w:r>
        <w:rPr>
          <w:rFonts w:ascii="Calibri" w:hAnsi="Calibri" w:eastAsia="Microsoft YaHei"/>
          <w:b w:val="0"/>
          <w:i w:val="0"/>
          <w:sz w:val="22"/>
        </w:rPr>
        <w:t>该策略原型成功建立了波动率分析结果与系统化期权持仓之间的连接，并为后续日历价差、波动率相对价值以及多因子期权投资组合等策略提供了基础框架。</w:t>
      </w:r>
    </w:p>
    <w:p>
      <w:r>
        <w:br w:type="page"/>
      </w:r>
    </w:p>
    <w:p>
      <w:pPr>
        <w:pStyle w:val="Heading1"/>
      </w:pPr>
      <w:r>
        <w:rPr>
          <w:rFonts w:ascii="Calibri" w:hAnsi="Calibri" w:eastAsia="Microsoft YaHei"/>
          <w:b/>
          <w:sz w:val="32"/>
        </w:rPr>
        <w:t>7. 回测框架</w:t>
      </w:r>
    </w:p>
    <w:p>
      <w:r>
        <w:rPr>
          <w:rFonts w:ascii="Calibri" w:hAnsi="Calibri" w:eastAsia="Microsoft YaHei"/>
          <w:b w:val="0"/>
          <w:i w:val="0"/>
          <w:sz w:val="22"/>
        </w:rPr>
        <w:t>本项目建立了规则驱动的回测引擎，用于评估波动率信号能否被转化为系统化期权交易。回测框架记录开仓日期、平仓日期、持有期限、入场信号评分、退出信号评分、持仓收益率、净值曲线及回撤等信息。</w:t>
      </w:r>
    </w:p>
    <w:tbl>
      <w:tblPr>
        <w:tblStyle w:val="TableGrid"/>
        <w:tblW w:type="auto" w:w="0"/>
        <w:tblLook w:firstColumn="1" w:firstRow="1" w:lastColumn="0" w:lastRow="0" w:noHBand="0" w:noVBand="1" w:val="04A0"/>
      </w:tblPr>
      <w:tblGrid>
        <w:gridCol w:w="4320"/>
        <w:gridCol w:w="4320"/>
      </w:tblGrid>
      <w:tr>
        <w:tc>
          <w:tcPr>
            <w:tcW w:type="dxa" w:w="4320"/>
            <w:vAlign w:val="center"/>
          </w:tcPr>
          <w:p>
            <w:r>
              <w:rPr>
                <w:rFonts w:ascii="Calibri" w:hAnsi="Calibri" w:eastAsia="Microsoft YaHei"/>
                <w:b/>
                <w:sz w:val="18"/>
              </w:rPr>
              <w:t>指标</w:t>
            </w:r>
          </w:p>
        </w:tc>
        <w:tc>
          <w:tcPr>
            <w:tcW w:type="dxa" w:w="4320"/>
            <w:vAlign w:val="center"/>
          </w:tcPr>
          <w:p>
            <w:r>
              <w:rPr>
                <w:rFonts w:ascii="Calibri" w:hAnsi="Calibri" w:eastAsia="Microsoft YaHei"/>
                <w:b/>
                <w:sz w:val="18"/>
              </w:rPr>
              <w:t>数值</w:t>
            </w:r>
          </w:p>
        </w:tc>
      </w:tr>
      <w:tr>
        <w:tc>
          <w:tcPr>
            <w:tcW w:type="dxa" w:w="4320"/>
            <w:vAlign w:val="center"/>
          </w:tcPr>
          <w:p>
            <w:r>
              <w:rPr>
                <w:rFonts w:ascii="Calibri" w:hAnsi="Calibri" w:eastAsia="Microsoft YaHei"/>
                <w:b w:val="0"/>
                <w:sz w:val="18"/>
              </w:rPr>
              <w:t>交易次数</w:t>
            </w:r>
          </w:p>
        </w:tc>
        <w:tc>
          <w:tcPr>
            <w:tcW w:type="dxa" w:w="4320"/>
            <w:vAlign w:val="center"/>
          </w:tcPr>
          <w:p>
            <w:r>
              <w:rPr>
                <w:rFonts w:ascii="Calibri" w:hAnsi="Calibri" w:eastAsia="Microsoft YaHei"/>
                <w:b w:val="0"/>
                <w:sz w:val="18"/>
              </w:rPr>
              <w:t>4</w:t>
            </w:r>
          </w:p>
        </w:tc>
      </w:tr>
      <w:tr>
        <w:tc>
          <w:tcPr>
            <w:tcW w:type="dxa" w:w="4320"/>
            <w:vAlign w:val="center"/>
          </w:tcPr>
          <w:p>
            <w:r>
              <w:rPr>
                <w:rFonts w:ascii="Calibri" w:hAnsi="Calibri" w:eastAsia="Microsoft YaHei"/>
                <w:b w:val="0"/>
                <w:sz w:val="18"/>
              </w:rPr>
              <w:t>盈利交易次数</w:t>
            </w:r>
          </w:p>
        </w:tc>
        <w:tc>
          <w:tcPr>
            <w:tcW w:type="dxa" w:w="4320"/>
            <w:vAlign w:val="center"/>
          </w:tcPr>
          <w:p>
            <w:r>
              <w:rPr>
                <w:rFonts w:ascii="Calibri" w:hAnsi="Calibri" w:eastAsia="Microsoft YaHei"/>
                <w:b w:val="0"/>
                <w:sz w:val="18"/>
              </w:rPr>
              <w:t>3</w:t>
            </w:r>
          </w:p>
        </w:tc>
      </w:tr>
      <w:tr>
        <w:tc>
          <w:tcPr>
            <w:tcW w:type="dxa" w:w="4320"/>
            <w:vAlign w:val="center"/>
          </w:tcPr>
          <w:p>
            <w:r>
              <w:rPr>
                <w:rFonts w:ascii="Calibri" w:hAnsi="Calibri" w:eastAsia="Microsoft YaHei"/>
                <w:b w:val="0"/>
                <w:sz w:val="18"/>
              </w:rPr>
              <w:t>亏损交易次数</w:t>
            </w:r>
          </w:p>
        </w:tc>
        <w:tc>
          <w:tcPr>
            <w:tcW w:type="dxa" w:w="4320"/>
            <w:vAlign w:val="center"/>
          </w:tcPr>
          <w:p>
            <w:r>
              <w:rPr>
                <w:rFonts w:ascii="Calibri" w:hAnsi="Calibri" w:eastAsia="Microsoft YaHei"/>
                <w:b w:val="0"/>
                <w:sz w:val="18"/>
              </w:rPr>
              <w:t>1</w:t>
            </w:r>
          </w:p>
        </w:tc>
      </w:tr>
      <w:tr>
        <w:tc>
          <w:tcPr>
            <w:tcW w:type="dxa" w:w="4320"/>
            <w:vAlign w:val="center"/>
          </w:tcPr>
          <w:p>
            <w:r>
              <w:rPr>
                <w:rFonts w:ascii="Calibri" w:hAnsi="Calibri" w:eastAsia="Microsoft YaHei"/>
                <w:b w:val="0"/>
                <w:sz w:val="18"/>
              </w:rPr>
              <w:t>胜率</w:t>
            </w:r>
          </w:p>
        </w:tc>
        <w:tc>
          <w:tcPr>
            <w:tcW w:type="dxa" w:w="4320"/>
            <w:vAlign w:val="center"/>
          </w:tcPr>
          <w:p>
            <w:r>
              <w:rPr>
                <w:rFonts w:ascii="Calibri" w:hAnsi="Calibri" w:eastAsia="Microsoft YaHei"/>
                <w:b w:val="0"/>
                <w:sz w:val="18"/>
              </w:rPr>
              <w:t>75%</w:t>
            </w:r>
          </w:p>
        </w:tc>
      </w:tr>
      <w:tr>
        <w:tc>
          <w:tcPr>
            <w:tcW w:type="dxa" w:w="4320"/>
            <w:vAlign w:val="center"/>
          </w:tcPr>
          <w:p>
            <w:r>
              <w:rPr>
                <w:rFonts w:ascii="Calibri" w:hAnsi="Calibri" w:eastAsia="Microsoft YaHei"/>
                <w:b w:val="0"/>
                <w:sz w:val="18"/>
              </w:rPr>
              <w:t>最终净值</w:t>
            </w:r>
          </w:p>
        </w:tc>
        <w:tc>
          <w:tcPr>
            <w:tcW w:type="dxa" w:w="4320"/>
            <w:vAlign w:val="center"/>
          </w:tcPr>
          <w:p>
            <w:r>
              <w:rPr>
                <w:rFonts w:ascii="Calibri" w:hAnsi="Calibri" w:eastAsia="Microsoft YaHei"/>
                <w:b w:val="0"/>
                <w:sz w:val="18"/>
              </w:rPr>
              <w:t>1.305</w:t>
            </w:r>
          </w:p>
        </w:tc>
      </w:tr>
      <w:tr>
        <w:tc>
          <w:tcPr>
            <w:tcW w:type="dxa" w:w="4320"/>
            <w:vAlign w:val="center"/>
          </w:tcPr>
          <w:p>
            <w:r>
              <w:rPr>
                <w:rFonts w:ascii="Calibri" w:hAnsi="Calibri" w:eastAsia="Microsoft YaHei"/>
                <w:b w:val="0"/>
                <w:sz w:val="18"/>
              </w:rPr>
              <w:t>累计收益率</w:t>
            </w:r>
          </w:p>
        </w:tc>
        <w:tc>
          <w:tcPr>
            <w:tcW w:type="dxa" w:w="4320"/>
            <w:vAlign w:val="center"/>
          </w:tcPr>
          <w:p>
            <w:r>
              <w:rPr>
                <w:rFonts w:ascii="Calibri" w:hAnsi="Calibri" w:eastAsia="Microsoft YaHei"/>
                <w:b w:val="0"/>
                <w:sz w:val="18"/>
              </w:rPr>
              <w:t>30.5%</w:t>
            </w:r>
          </w:p>
        </w:tc>
      </w:tr>
      <w:tr>
        <w:tc>
          <w:tcPr>
            <w:tcW w:type="dxa" w:w="4320"/>
            <w:vAlign w:val="center"/>
          </w:tcPr>
          <w:p>
            <w:r>
              <w:rPr>
                <w:rFonts w:ascii="Calibri" w:hAnsi="Calibri" w:eastAsia="Microsoft YaHei"/>
                <w:b w:val="0"/>
                <w:sz w:val="18"/>
              </w:rPr>
              <w:t>最大回撤</w:t>
            </w:r>
          </w:p>
        </w:tc>
        <w:tc>
          <w:tcPr>
            <w:tcW w:type="dxa" w:w="4320"/>
            <w:vAlign w:val="center"/>
          </w:tcPr>
          <w:p>
            <w:r>
              <w:rPr>
                <w:rFonts w:ascii="Calibri" w:hAnsi="Calibri" w:eastAsia="Microsoft YaHei"/>
                <w:b w:val="0"/>
                <w:sz w:val="18"/>
              </w:rPr>
              <w:t>-0.92%</w:t>
            </w:r>
          </w:p>
        </w:tc>
      </w:tr>
      <w:tr>
        <w:tc>
          <w:tcPr>
            <w:tcW w:type="dxa" w:w="4320"/>
            <w:vAlign w:val="center"/>
          </w:tcPr>
          <w:p>
            <w:r>
              <w:rPr>
                <w:rFonts w:ascii="Calibri" w:hAnsi="Calibri" w:eastAsia="Microsoft YaHei"/>
                <w:b w:val="0"/>
                <w:sz w:val="18"/>
              </w:rPr>
              <w:t>平均持仓时间</w:t>
            </w:r>
          </w:p>
        </w:tc>
        <w:tc>
          <w:tcPr>
            <w:tcW w:type="dxa" w:w="4320"/>
            <w:vAlign w:val="center"/>
          </w:tcPr>
          <w:p>
            <w:r>
              <w:rPr>
                <w:rFonts w:ascii="Calibri" w:hAnsi="Calibri" w:eastAsia="Microsoft YaHei"/>
                <w:b w:val="0"/>
                <w:sz w:val="18"/>
              </w:rPr>
              <w:t>约4个交易日</w:t>
            </w:r>
          </w:p>
        </w:tc>
      </w:tr>
    </w:tbl>
    <w:p>
      <w:pPr>
        <w:pStyle w:val="Heading2"/>
      </w:pPr>
      <w:r>
        <w:rPr>
          <w:rFonts w:ascii="Calibri" w:hAnsi="Calibri" w:eastAsia="Microsoft YaHei"/>
          <w:b/>
          <w:sz w:val="26"/>
        </w:rPr>
        <w:t>7.1 结果解读</w:t>
      </w:r>
    </w:p>
    <w:p>
      <w:pPr>
        <w:pStyle w:val="ListBullet"/>
      </w:pPr>
      <w:r>
        <w:rPr>
          <w:rFonts w:ascii="Calibri" w:hAnsi="Calibri" w:eastAsia="Microsoft YaHei"/>
          <w:sz w:val="22"/>
        </w:rPr>
        <w:t>策略原型在当前样本期内取得了正收益。</w:t>
      </w:r>
    </w:p>
    <w:p>
      <w:pPr>
        <w:pStyle w:val="ListBullet"/>
      </w:pPr>
      <w:r>
        <w:rPr>
          <w:rFonts w:ascii="Calibri" w:hAnsi="Calibri" w:eastAsia="Microsoft YaHei"/>
          <w:sz w:val="22"/>
        </w:rPr>
        <w:t>最终净值达到 1.305，对应累计收益率为 30.5%。</w:t>
      </w:r>
    </w:p>
    <w:p>
      <w:pPr>
        <w:pStyle w:val="ListBullet"/>
      </w:pPr>
      <w:r>
        <w:rPr>
          <w:rFonts w:ascii="Calibri" w:hAnsi="Calibri" w:eastAsia="Microsoft YaHei"/>
          <w:sz w:val="22"/>
        </w:rPr>
        <w:t>最大回撤为 -0.92%。</w:t>
      </w:r>
    </w:p>
    <w:p>
      <w:pPr>
        <w:pStyle w:val="ListBullet"/>
      </w:pPr>
      <w:r>
        <w:rPr>
          <w:rFonts w:ascii="Calibri" w:hAnsi="Calibri" w:eastAsia="Microsoft YaHei"/>
          <w:sz w:val="22"/>
        </w:rPr>
        <w:t>策略共完成 4 笔交易，其中 3 笔盈利，1 笔亏损。</w:t>
      </w:r>
    </w:p>
    <w:p>
      <w:pPr>
        <w:pStyle w:val="ListBullet"/>
      </w:pPr>
      <w:r>
        <w:rPr>
          <w:rFonts w:ascii="Calibri" w:hAnsi="Calibri" w:eastAsia="Microsoft YaHei"/>
          <w:sz w:val="22"/>
        </w:rPr>
        <w:t>当前结果应被视为框架有效性验证，而不是对策略 Alpha 的最终确认。</w:t>
      </w:r>
    </w:p>
    <w:p>
      <w:pPr>
        <w:pStyle w:val="Heading2"/>
      </w:pPr>
      <w:r>
        <w:rPr>
          <w:rFonts w:ascii="Calibri" w:hAnsi="Calibri" w:eastAsia="Microsoft YaHei"/>
          <w:b/>
          <w:sz w:val="26"/>
        </w:rPr>
        <w:t>7.2 当前局限</w:t>
      </w:r>
    </w:p>
    <w:p>
      <w:r>
        <w:rPr>
          <w:rFonts w:ascii="Calibri" w:hAnsi="Calibri" w:eastAsia="Microsoft YaHei"/>
          <w:b w:val="0"/>
          <w:i w:val="0"/>
          <w:sz w:val="22"/>
        </w:rPr>
        <w:t>由于当前仅包含 4 笔完整交易，统计置信度仍然有限。后续研究应扩大历史样本，并引入更现实的成交、滑点和交易成本假设。</w:t>
      </w:r>
    </w:p>
    <w:p>
      <w:r>
        <w:br w:type="page"/>
      </w:r>
    </w:p>
    <w:p>
      <w:pPr>
        <w:pStyle w:val="Heading1"/>
      </w:pPr>
      <w:r>
        <w:rPr>
          <w:rFonts w:ascii="Calibri" w:hAnsi="Calibri" w:eastAsia="Microsoft YaHei"/>
          <w:b/>
          <w:sz w:val="32"/>
        </w:rPr>
        <w:t>8. 交易成本与稳健性分析</w:t>
      </w:r>
    </w:p>
    <w:p>
      <w:r>
        <w:rPr>
          <w:rFonts w:ascii="Calibri" w:hAnsi="Calibri" w:eastAsia="Microsoft YaHei"/>
          <w:b w:val="0"/>
          <w:i w:val="0"/>
          <w:sz w:val="22"/>
        </w:rPr>
        <w:t>量化策略不仅需要在基础回测中取得较好表现，还需要在不同参数和执行假设下保持一定稳定性。本章从交易成本、信号阈值、持有期限及整体投资组合表现等角度，对期权策略进行稳健性分析。</w:t>
      </w:r>
    </w:p>
    <w:p>
      <w:pPr>
        <w:pStyle w:val="Heading2"/>
      </w:pPr>
      <w:r>
        <w:rPr>
          <w:rFonts w:ascii="Calibri" w:hAnsi="Calibri" w:eastAsia="Microsoft YaHei"/>
          <w:b/>
          <w:sz w:val="26"/>
        </w:rPr>
        <w:t>8.1 稳健性测试框架</w:t>
      </w:r>
    </w:p>
    <w:p>
      <w:pPr>
        <w:pStyle w:val="ListBullet"/>
      </w:pPr>
      <w:r>
        <w:rPr>
          <w:rFonts w:ascii="Calibri" w:hAnsi="Calibri" w:eastAsia="Microsoft YaHei"/>
          <w:sz w:val="22"/>
        </w:rPr>
        <w:t>信号阈值敏感性分析</w:t>
      </w:r>
    </w:p>
    <w:p>
      <w:pPr>
        <w:pStyle w:val="ListBullet"/>
      </w:pPr>
      <w:r>
        <w:rPr>
          <w:rFonts w:ascii="Calibri" w:hAnsi="Calibri" w:eastAsia="Microsoft YaHei"/>
          <w:sz w:val="22"/>
        </w:rPr>
        <w:t>交易成本敏感性分析</w:t>
      </w:r>
    </w:p>
    <w:p>
      <w:pPr>
        <w:pStyle w:val="ListBullet"/>
      </w:pPr>
      <w:r>
        <w:rPr>
          <w:rFonts w:ascii="Calibri" w:hAnsi="Calibri" w:eastAsia="Microsoft YaHei"/>
          <w:sz w:val="22"/>
        </w:rPr>
        <w:t>持有期限敏感性分析</w:t>
      </w:r>
    </w:p>
    <w:p>
      <w:pPr>
        <w:pStyle w:val="ListBullet"/>
      </w:pPr>
      <w:r>
        <w:rPr>
          <w:rFonts w:ascii="Calibri" w:hAnsi="Calibri" w:eastAsia="Microsoft YaHei"/>
          <w:sz w:val="22"/>
        </w:rPr>
        <w:t>不同参数组合下的策略表现比较</w:t>
      </w:r>
    </w:p>
    <w:p>
      <w:pPr>
        <w:pStyle w:val="ListBullet"/>
      </w:pPr>
      <w:r>
        <w:rPr>
          <w:rFonts w:ascii="Calibri" w:hAnsi="Calibri" w:eastAsia="Microsoft YaHei"/>
          <w:sz w:val="22"/>
        </w:rPr>
        <w:t>综合稳健性分析仪表板</w:t>
      </w:r>
    </w:p>
    <w:p>
      <w:r>
        <w:rPr>
          <w:rFonts w:ascii="Calibri" w:hAnsi="Calibri" w:eastAsia="Microsoft YaHei"/>
          <w:b w:val="0"/>
          <w:i w:val="0"/>
          <w:sz w:val="22"/>
        </w:rPr>
        <w:t>本研究并非仅依赖单一参数配置，而是比较策略在多组研究设定下的表现，以判断回测结果是否过度依赖某一特定参数组合。</w:t>
      </w:r>
    </w:p>
    <w:p>
      <w:pPr>
        <w:jc w:val="center"/>
      </w:pPr>
      <w:r>
        <w:rPr>
          <w:rFonts w:ascii="Calibri" w:hAnsi="Calibri" w:eastAsia="Microsoft YaHei"/>
          <w:b/>
          <w:sz w:val="20"/>
        </w:rPr>
        <w:t>图 8.1 稳健性分析仪表板</w:t>
      </w:r>
    </w:p>
    <w:p>
      <w:pPr>
        <w:jc w:val="center"/>
      </w:pPr>
      <w:r>
        <w:drawing>
          <wp:inline xmlns:a="http://schemas.openxmlformats.org/drawingml/2006/main" xmlns:pic="http://schemas.openxmlformats.org/drawingml/2006/picture">
            <wp:extent cx="5943600" cy="4209397"/>
            <wp:docPr id="6" name="Picture 6"/>
            <wp:cNvGraphicFramePr>
              <a:graphicFrameLocks noChangeAspect="1"/>
            </wp:cNvGraphicFramePr>
            <a:graphic>
              <a:graphicData uri="http://schemas.openxmlformats.org/drawingml/2006/picture">
                <pic:pic>
                  <pic:nvPicPr>
                    <pic:cNvPr id="0" name="robustness_dashboard.png"/>
                    <pic:cNvPicPr/>
                  </pic:nvPicPr>
                  <pic:blipFill>
                    <a:blip r:embed="rId14"/>
                    <a:stretch>
                      <a:fillRect/>
                    </a:stretch>
                  </pic:blipFill>
                  <pic:spPr>
                    <a:xfrm>
                      <a:off x="0" y="0"/>
                      <a:ext cx="5943600" cy="4209397"/>
                    </a:xfrm>
                    <a:prstGeom prst="rect"/>
                  </pic:spPr>
                </pic:pic>
              </a:graphicData>
            </a:graphic>
          </wp:inline>
        </w:drawing>
      </w:r>
    </w:p>
    <w:p>
      <w:pPr>
        <w:jc w:val="center"/>
      </w:pPr>
      <w:r>
        <w:rPr>
          <w:rFonts w:ascii="Calibri" w:hAnsi="Calibri" w:eastAsia="Microsoft YaHei"/>
          <w:i/>
          <w:sz w:val="18"/>
        </w:rPr>
        <w:t>不同信号阈值、交易成本和持有期限设定下的敏感性分析结果。该仪表板用于集中比较不同研究参数对策略表现的影响。</w:t>
      </w:r>
    </w:p>
    <w:p>
      <w:pPr>
        <w:pStyle w:val="Heading2"/>
      </w:pPr>
      <w:r>
        <w:rPr>
          <w:rFonts w:ascii="Calibri" w:hAnsi="Calibri" w:eastAsia="Microsoft YaHei"/>
          <w:b/>
          <w:sz w:val="26"/>
        </w:rPr>
        <w:t>8.2 投资组合回测表现</w:t>
      </w:r>
    </w:p>
    <w:p>
      <w:r>
        <w:rPr>
          <w:rFonts w:ascii="Calibri" w:hAnsi="Calibri" w:eastAsia="Microsoft YaHei"/>
          <w:b w:val="0"/>
          <w:i w:val="0"/>
          <w:sz w:val="22"/>
        </w:rPr>
        <w:t>策略净值曲线反映全部已完成期权交易对累计投资组合价值的影响。虽然当前样本规模有限，但该曲线能够直观展示研究期内策略净值的变化过程。</w:t>
      </w:r>
    </w:p>
    <w:p>
      <w:pPr>
        <w:jc w:val="center"/>
      </w:pPr>
      <w:r>
        <w:rPr>
          <w:rFonts w:ascii="Calibri" w:hAnsi="Calibri" w:eastAsia="Microsoft YaHei"/>
          <w:b/>
          <w:sz w:val="20"/>
        </w:rPr>
        <w:t>图 8.2 期权策略净值曲线</w:t>
      </w:r>
    </w:p>
    <w:p>
      <w:pPr>
        <w:jc w:val="center"/>
      </w:pPr>
      <w:r>
        <w:drawing>
          <wp:inline xmlns:a="http://schemas.openxmlformats.org/drawingml/2006/main" xmlns:pic="http://schemas.openxmlformats.org/drawingml/2006/picture">
            <wp:extent cx="5943600" cy="3794083"/>
            <wp:docPr id="7" name="Picture 7"/>
            <wp:cNvGraphicFramePr>
              <a:graphicFrameLocks noChangeAspect="1"/>
            </wp:cNvGraphicFramePr>
            <a:graphic>
              <a:graphicData uri="http://schemas.openxmlformats.org/drawingml/2006/picture">
                <pic:pic>
                  <pic:nvPicPr>
                    <pic:cNvPr id="0" name="option_equity_curve.png"/>
                    <pic:cNvPicPr/>
                  </pic:nvPicPr>
                  <pic:blipFill>
                    <a:blip r:embed="rId15"/>
                    <a:stretch>
                      <a:fillRect/>
                    </a:stretch>
                  </pic:blipFill>
                  <pic:spPr>
                    <a:xfrm>
                      <a:off x="0" y="0"/>
                      <a:ext cx="5943600" cy="3794083"/>
                    </a:xfrm>
                    <a:prstGeom prst="rect"/>
                  </pic:spPr>
                </pic:pic>
              </a:graphicData>
            </a:graphic>
          </wp:inline>
        </w:drawing>
      </w:r>
    </w:p>
    <w:p>
      <w:pPr>
        <w:jc w:val="center"/>
      </w:pPr>
      <w:r>
        <w:rPr>
          <w:rFonts w:ascii="Calibri" w:hAnsi="Calibri" w:eastAsia="Microsoft YaHei"/>
          <w:i/>
          <w:sz w:val="18"/>
        </w:rPr>
        <w:t>当前研究样本中已完成期权交易形成的累计净值曲线。由于回测仅包含 4 笔完整交易，该结果应主要用于验证框架运行是否有效。</w:t>
      </w:r>
    </w:p>
    <w:p>
      <w:r>
        <w:rPr>
          <w:rFonts w:ascii="Calibri" w:hAnsi="Calibri" w:eastAsia="Microsoft YaHei"/>
          <w:b w:val="0"/>
          <w:i w:val="0"/>
          <w:sz w:val="22"/>
        </w:rPr>
        <w:t>单笔交易收益率图进一步展示各笔完整交易的净收益情况。4 笔交易中有 3 笔取得正收益，1 笔出现小幅亏损。由于样本量较小，该图应被视为交易层面的透明展示，而不是收益率统计分布的可靠估计。</w:t>
      </w:r>
    </w:p>
    <w:p>
      <w:pPr>
        <w:jc w:val="center"/>
      </w:pPr>
      <w:r>
        <w:rPr>
          <w:rFonts w:ascii="Calibri" w:hAnsi="Calibri" w:eastAsia="Microsoft YaHei"/>
          <w:b/>
          <w:sz w:val="20"/>
        </w:rPr>
        <w:t>图 8.3 单笔交易收益率</w:t>
      </w:r>
    </w:p>
    <w:p>
      <w:pPr>
        <w:jc w:val="center"/>
      </w:pPr>
      <w:r>
        <w:drawing>
          <wp:inline xmlns:a="http://schemas.openxmlformats.org/drawingml/2006/main" xmlns:pic="http://schemas.openxmlformats.org/drawingml/2006/picture">
            <wp:extent cx="5943600" cy="4100934"/>
            <wp:docPr id="8" name="Picture 8"/>
            <wp:cNvGraphicFramePr>
              <a:graphicFrameLocks noChangeAspect="1"/>
            </wp:cNvGraphicFramePr>
            <a:graphic>
              <a:graphicData uri="http://schemas.openxmlformats.org/drawingml/2006/picture">
                <pic:pic>
                  <pic:nvPicPr>
                    <pic:cNvPr id="0" name="option_return_distribution.png"/>
                    <pic:cNvPicPr/>
                  </pic:nvPicPr>
                  <pic:blipFill>
                    <a:blip r:embed="rId16"/>
                    <a:stretch>
                      <a:fillRect/>
                    </a:stretch>
                  </pic:blipFill>
                  <pic:spPr>
                    <a:xfrm>
                      <a:off x="0" y="0"/>
                      <a:ext cx="5943600" cy="4100934"/>
                    </a:xfrm>
                    <a:prstGeom prst="rect"/>
                  </pic:spPr>
                </pic:pic>
              </a:graphicData>
            </a:graphic>
          </wp:inline>
        </w:drawing>
      </w:r>
    </w:p>
    <w:p>
      <w:pPr>
        <w:jc w:val="center"/>
      </w:pPr>
      <w:r>
        <w:rPr>
          <w:rFonts w:ascii="Calibri" w:hAnsi="Calibri" w:eastAsia="Microsoft YaHei"/>
          <w:i/>
          <w:sz w:val="18"/>
        </w:rPr>
        <w:t>各笔完整期权交易的净收益率。当前共有 3 笔盈利交易和 1 笔亏损交易，样本规模不足以支持强统计结论。</w:t>
      </w:r>
    </w:p>
    <w:p>
      <w:pPr>
        <w:pStyle w:val="Heading2"/>
      </w:pPr>
      <w:r>
        <w:rPr>
          <w:rFonts w:ascii="Calibri" w:hAnsi="Calibri" w:eastAsia="Microsoft YaHei"/>
          <w:b/>
          <w:sz w:val="26"/>
        </w:rPr>
        <w:t>8.3 交易成本分析</w:t>
      </w:r>
    </w:p>
    <w:p>
      <w:r>
        <w:rPr>
          <w:rFonts w:ascii="Calibri" w:hAnsi="Calibri" w:eastAsia="Microsoft YaHei"/>
          <w:b w:val="0"/>
          <w:i w:val="0"/>
          <w:sz w:val="22"/>
        </w:rPr>
        <w:t>期权策略对交易成本较为敏感，原因在于不同合约之间的买卖价差和市场流动性存在显著差异。交易成本敏感性分析用于判断，在引入合理执行成本后，策略表现是否仍具有经济意义。</w:t>
      </w:r>
    </w:p>
    <w:p>
      <w:r>
        <w:rPr>
          <w:rFonts w:ascii="Calibri" w:hAnsi="Calibri" w:eastAsia="Microsoft YaHei"/>
          <w:b w:val="0"/>
          <w:i w:val="0"/>
          <w:sz w:val="22"/>
        </w:rPr>
        <w:t>当前实现采用了简化的交易成本假设，但整体架构允许后续加入更现实的佣金标准、滑点模型、买卖价差和成交概率，而无需重新设计回测框架。</w:t>
      </w:r>
    </w:p>
    <w:p>
      <w:pPr>
        <w:pStyle w:val="Heading2"/>
      </w:pPr>
      <w:r>
        <w:rPr>
          <w:rFonts w:ascii="Calibri" w:hAnsi="Calibri" w:eastAsia="Microsoft YaHei"/>
          <w:b/>
          <w:sz w:val="26"/>
        </w:rPr>
        <w:t>8.4 信号有效性检验</w:t>
      </w:r>
    </w:p>
    <w:p>
      <w:r>
        <w:rPr>
          <w:rFonts w:ascii="Calibri" w:hAnsi="Calibri" w:eastAsia="Microsoft YaHei"/>
          <w:b w:val="0"/>
          <w:i w:val="0"/>
          <w:sz w:val="22"/>
        </w:rPr>
        <w:t>信号质量通过比较入场信号评分与后续策略收益进行评估。如果更高的信号评分与更好的交易结果之间存在稳定关系，则说明信号生成框架可能捕捉到了具有经济意义的信息。</w:t>
      </w:r>
    </w:p>
    <w:p>
      <w:pPr>
        <w:jc w:val="center"/>
      </w:pPr>
      <w:r>
        <w:rPr>
          <w:rFonts w:ascii="Calibri" w:hAnsi="Calibri" w:eastAsia="Microsoft YaHei"/>
          <w:b/>
          <w:sz w:val="20"/>
        </w:rPr>
        <w:t>图 8.4 入场信号评分与净收益率</w:t>
      </w:r>
    </w:p>
    <w:p>
      <w:pPr>
        <w:jc w:val="center"/>
      </w:pPr>
      <w:r>
        <w:drawing>
          <wp:inline xmlns:a="http://schemas.openxmlformats.org/drawingml/2006/main" xmlns:pic="http://schemas.openxmlformats.org/drawingml/2006/picture">
            <wp:extent cx="5943600" cy="4102662"/>
            <wp:docPr id="9" name="Picture 9"/>
            <wp:cNvGraphicFramePr>
              <a:graphicFrameLocks noChangeAspect="1"/>
            </wp:cNvGraphicFramePr>
            <a:graphic>
              <a:graphicData uri="http://schemas.openxmlformats.org/drawingml/2006/picture">
                <pic:pic>
                  <pic:nvPicPr>
                    <pic:cNvPr id="0" name="option_signal_score_vs_return.png"/>
                    <pic:cNvPicPr/>
                  </pic:nvPicPr>
                  <pic:blipFill>
                    <a:blip r:embed="rId17"/>
                    <a:stretch>
                      <a:fillRect/>
                    </a:stretch>
                  </pic:blipFill>
                  <pic:spPr>
                    <a:xfrm>
                      <a:off x="0" y="0"/>
                      <a:ext cx="5943600" cy="4102662"/>
                    </a:xfrm>
                    <a:prstGeom prst="rect"/>
                  </pic:spPr>
                </pic:pic>
              </a:graphicData>
            </a:graphic>
          </wp:inline>
        </w:drawing>
      </w:r>
    </w:p>
    <w:p>
      <w:pPr>
        <w:jc w:val="center"/>
      </w:pPr>
      <w:r>
        <w:rPr>
          <w:rFonts w:ascii="Calibri" w:hAnsi="Calibri" w:eastAsia="Microsoft YaHei"/>
          <w:i/>
          <w:sz w:val="18"/>
        </w:rPr>
        <w:t>入场信号评分与后续净收益率之间的关系。该图用于初步判断信号是否具有信息含量，但较小的交易样本限制了统计结论。</w:t>
      </w:r>
    </w:p>
    <w:p>
      <w:r>
        <w:rPr>
          <w:rFonts w:ascii="Calibri" w:hAnsi="Calibri" w:eastAsia="Microsoft YaHei"/>
          <w:b w:val="0"/>
          <w:i w:val="0"/>
          <w:sz w:val="22"/>
        </w:rPr>
        <w:t>因此，信号有效性检验为 signal_score 并非完全任意的排序指标提供了初步证据，但仍需要在更长历史区间和更多交易样本中进一步验证。</w:t>
      </w:r>
    </w:p>
    <w:p>
      <w:pPr>
        <w:pStyle w:val="Heading2"/>
      </w:pPr>
      <w:r>
        <w:rPr>
          <w:rFonts w:ascii="Calibri" w:hAnsi="Calibri" w:eastAsia="Microsoft YaHei"/>
          <w:b/>
          <w:sz w:val="26"/>
        </w:rPr>
        <w:t>8.5 综合评价</w:t>
      </w:r>
    </w:p>
    <w:p>
      <w:r>
        <w:rPr>
          <w:rFonts w:ascii="Calibri" w:hAnsi="Calibri" w:eastAsia="Microsoft YaHei"/>
          <w:b w:val="0"/>
          <w:i w:val="0"/>
          <w:sz w:val="22"/>
        </w:rPr>
        <w:t>稳健性分析框架已经成功接入量化期权研究平台。虽然当前数据仅覆盖有限研究区间，但该测试基础设施具有较强复用性，可直接应用于后续扩展后的历史数据。</w:t>
      </w:r>
    </w:p>
    <w:p>
      <w:pPr>
        <w:pStyle w:val="ListBullet"/>
      </w:pPr>
      <w:r>
        <w:rPr>
          <w:rFonts w:ascii="Calibri" w:hAnsi="Calibri" w:eastAsia="Microsoft YaHei"/>
          <w:sz w:val="22"/>
        </w:rPr>
        <w:t>在已测试参数范围内，策略表现未出现完全失效，但样本规模仍不足以支持强统计结论。</w:t>
      </w:r>
    </w:p>
    <w:p>
      <w:pPr>
        <w:pStyle w:val="ListBullet"/>
      </w:pPr>
      <w:r>
        <w:rPr>
          <w:rFonts w:ascii="Calibri" w:hAnsi="Calibri" w:eastAsia="Microsoft YaHei"/>
          <w:sz w:val="22"/>
        </w:rPr>
        <w:t>交易成本分析表明，执行假设会对期权策略结果产生实质性影响。</w:t>
      </w:r>
    </w:p>
    <w:p>
      <w:pPr>
        <w:pStyle w:val="ListBullet"/>
      </w:pPr>
      <w:r>
        <w:rPr>
          <w:rFonts w:ascii="Calibri" w:hAnsi="Calibri" w:eastAsia="Microsoft YaHei"/>
          <w:sz w:val="22"/>
        </w:rPr>
        <w:t>信号有效性检验初步支持信号评分具有一定信息含量。</w:t>
      </w:r>
    </w:p>
    <w:p>
      <w:pPr>
        <w:pStyle w:val="ListBullet"/>
      </w:pPr>
      <w:r>
        <w:rPr>
          <w:rFonts w:ascii="Calibri" w:hAnsi="Calibri" w:eastAsia="Microsoft YaHei"/>
          <w:sz w:val="22"/>
        </w:rPr>
        <w:t>稳健性分析仪表板提供了策略稳定性的统一观察界面。</w:t>
      </w:r>
    </w:p>
    <w:p>
      <w:pPr>
        <w:pStyle w:val="ListBullet"/>
      </w:pPr>
      <w:r>
        <w:rPr>
          <w:rFonts w:ascii="Calibri" w:hAnsi="Calibri" w:eastAsia="Microsoft YaHei"/>
          <w:sz w:val="22"/>
        </w:rPr>
        <w:t>当前框架为未来更大样本的策略验证建立了可扩展基础。</w:t>
      </w:r>
    </w:p>
    <w:p>
      <w:r>
        <w:br w:type="page"/>
      </w:r>
    </w:p>
    <w:p>
      <w:pPr>
        <w:pStyle w:val="Heading1"/>
      </w:pPr>
      <w:r>
        <w:rPr>
          <w:rFonts w:ascii="Calibri" w:hAnsi="Calibri" w:eastAsia="Microsoft YaHei"/>
          <w:b/>
          <w:sz w:val="32"/>
        </w:rPr>
        <w:t>第二部分——量化研究平台</w:t>
      </w:r>
    </w:p>
    <w:p>
      <w:pPr>
        <w:pStyle w:val="Heading1"/>
      </w:pPr>
      <w:r>
        <w:rPr>
          <w:rFonts w:ascii="Calibri" w:hAnsi="Calibri" w:eastAsia="Microsoft YaHei"/>
          <w:b/>
          <w:sz w:val="32"/>
        </w:rPr>
        <w:t>9. 系统架构</w:t>
      </w:r>
    </w:p>
    <w:p>
      <w:r>
        <w:rPr>
          <w:rFonts w:ascii="Calibri" w:hAnsi="Calibri" w:eastAsia="Microsoft YaHei"/>
          <w:b w:val="0"/>
          <w:i w:val="0"/>
          <w:sz w:val="22"/>
        </w:rPr>
        <w:t>第二阶段在第一阶段研究工作的基础上，进一步构建了完整的量化期权研究平台。平台采用模块化架构设计，将数据处理、策略研究、投资组合管理、风险监控、对冲建议及自动化报告等功能划分为相互独立且可扩展的模块。</w:t>
      </w:r>
    </w:p>
    <w:p>
      <w:r>
        <w:rPr>
          <w:rFonts w:ascii="Calibri" w:hAnsi="Calibri" w:eastAsia="Microsoft YaHei"/>
          <w:b w:val="0"/>
          <w:i w:val="0"/>
          <w:sz w:val="22"/>
        </w:rPr>
        <w:t>这种分层架构降低了各模块之间的耦合程度，提高了系统的可维护性、可复现性与后续扩展能力，并为未来增加新的策略、风险模型、数据源和自动化执行模块奠定了基础。</w:t>
      </w:r>
    </w:p>
    <w:p>
      <w:pPr>
        <w:pStyle w:val="Heading2"/>
      </w:pPr>
      <w:r>
        <w:rPr>
          <w:rFonts w:ascii="Calibri" w:hAnsi="Calibri" w:eastAsia="Microsoft YaHei"/>
          <w:b/>
          <w:sz w:val="26"/>
        </w:rPr>
        <w:t>9.1 系统总体架构</w:t>
      </w:r>
    </w:p>
    <w:p>
      <w:pPr>
        <w:jc w:val="center"/>
      </w:pPr>
      <w:r>
        <w:rPr>
          <w:rFonts w:ascii="Calibri" w:hAnsi="Calibri" w:eastAsia="Microsoft YaHei"/>
          <w:b/>
          <w:sz w:val="20"/>
        </w:rPr>
        <w:t>表 9.1 系统分层架构</w:t>
      </w:r>
    </w:p>
    <w:tbl>
      <w:tblPr>
        <w:tblStyle w:val="TableGrid"/>
        <w:tblW w:type="auto" w:w="0"/>
        <w:tblLook w:firstColumn="1" w:firstRow="1" w:lastColumn="0" w:lastRow="0" w:noHBand="0" w:noVBand="1" w:val="04A0"/>
      </w:tblPr>
      <w:tblGrid>
        <w:gridCol w:w="4320"/>
        <w:gridCol w:w="4320"/>
      </w:tblGrid>
      <w:tr>
        <w:tc>
          <w:tcPr>
            <w:tcW w:type="dxa" w:w="4320"/>
            <w:vAlign w:val="center"/>
          </w:tcPr>
          <w:p>
            <w:r>
              <w:rPr>
                <w:rFonts w:ascii="Calibri" w:hAnsi="Calibri" w:eastAsia="Microsoft YaHei"/>
                <w:b/>
                <w:sz w:val="18"/>
              </w:rPr>
              <w:t>系统层级</w:t>
            </w:r>
          </w:p>
        </w:tc>
        <w:tc>
          <w:tcPr>
            <w:tcW w:type="dxa" w:w="4320"/>
            <w:vAlign w:val="center"/>
          </w:tcPr>
          <w:p>
            <w:r>
              <w:rPr>
                <w:rFonts w:ascii="Calibri" w:hAnsi="Calibri" w:eastAsia="Microsoft YaHei"/>
                <w:b/>
                <w:sz w:val="18"/>
              </w:rPr>
              <w:t>主要职责</w:t>
            </w:r>
          </w:p>
        </w:tc>
      </w:tr>
      <w:tr>
        <w:tc>
          <w:tcPr>
            <w:tcW w:type="dxa" w:w="4320"/>
            <w:vAlign w:val="center"/>
          </w:tcPr>
          <w:p>
            <w:r>
              <w:rPr>
                <w:rFonts w:ascii="Calibri" w:hAnsi="Calibri" w:eastAsia="Microsoft YaHei"/>
                <w:b w:val="0"/>
                <w:sz w:val="18"/>
              </w:rPr>
              <w:t>数据层</w:t>
            </w:r>
          </w:p>
        </w:tc>
        <w:tc>
          <w:tcPr>
            <w:tcW w:type="dxa" w:w="4320"/>
            <w:vAlign w:val="center"/>
          </w:tcPr>
          <w:p>
            <w:r>
              <w:rPr>
                <w:rFonts w:ascii="Calibri" w:hAnsi="Calibri" w:eastAsia="Microsoft YaHei"/>
                <w:b w:val="0"/>
                <w:sz w:val="18"/>
              </w:rPr>
              <w:t>市场数据读取、数据加载、交易日识别与数据库存检查</w:t>
            </w:r>
          </w:p>
        </w:tc>
      </w:tr>
      <w:tr>
        <w:tc>
          <w:tcPr>
            <w:tcW w:type="dxa" w:w="4320"/>
            <w:vAlign w:val="center"/>
          </w:tcPr>
          <w:p>
            <w:r>
              <w:rPr>
                <w:rFonts w:ascii="Calibri" w:hAnsi="Calibri" w:eastAsia="Microsoft YaHei"/>
                <w:b w:val="0"/>
                <w:sz w:val="18"/>
              </w:rPr>
              <w:t>市场层</w:t>
            </w:r>
          </w:p>
        </w:tc>
        <w:tc>
          <w:tcPr>
            <w:tcW w:type="dxa" w:w="4320"/>
            <w:vAlign w:val="center"/>
          </w:tcPr>
          <w:p>
            <w:r>
              <w:rPr>
                <w:rFonts w:ascii="Calibri" w:hAnsi="Calibri" w:eastAsia="Microsoft YaHei"/>
                <w:b w:val="0"/>
                <w:sz w:val="18"/>
              </w:rPr>
              <w:t>交易时段规则、市场数据过滤与数据质量控制</w:t>
            </w:r>
          </w:p>
        </w:tc>
      </w:tr>
      <w:tr>
        <w:tc>
          <w:tcPr>
            <w:tcW w:type="dxa" w:w="4320"/>
            <w:vAlign w:val="center"/>
          </w:tcPr>
          <w:p>
            <w:r>
              <w:rPr>
                <w:rFonts w:ascii="Calibri" w:hAnsi="Calibri" w:eastAsia="Microsoft YaHei"/>
                <w:b w:val="0"/>
                <w:sz w:val="18"/>
              </w:rPr>
              <w:t>策略层</w:t>
            </w:r>
          </w:p>
        </w:tc>
        <w:tc>
          <w:tcPr>
            <w:tcW w:type="dxa" w:w="4320"/>
            <w:vAlign w:val="center"/>
          </w:tcPr>
          <w:p>
            <w:r>
              <w:rPr>
                <w:rFonts w:ascii="Calibri" w:hAnsi="Calibri" w:eastAsia="Microsoft YaHei"/>
                <w:b w:val="0"/>
                <w:sz w:val="18"/>
              </w:rPr>
              <w:t>策略注册、信号生成及期权交易结构构建</w:t>
            </w:r>
          </w:p>
        </w:tc>
      </w:tr>
      <w:tr>
        <w:tc>
          <w:tcPr>
            <w:tcW w:type="dxa" w:w="4320"/>
            <w:vAlign w:val="center"/>
          </w:tcPr>
          <w:p>
            <w:r>
              <w:rPr>
                <w:rFonts w:ascii="Calibri" w:hAnsi="Calibri" w:eastAsia="Microsoft YaHei"/>
                <w:b w:val="0"/>
                <w:sz w:val="18"/>
              </w:rPr>
              <w:t>投资组合层</w:t>
            </w:r>
          </w:p>
        </w:tc>
        <w:tc>
          <w:tcPr>
            <w:tcW w:type="dxa" w:w="4320"/>
            <w:vAlign w:val="center"/>
          </w:tcPr>
          <w:p>
            <w:r>
              <w:rPr>
                <w:rFonts w:ascii="Calibri" w:hAnsi="Calibri" w:eastAsia="Microsoft YaHei"/>
                <w:b w:val="0"/>
                <w:sz w:val="18"/>
              </w:rPr>
              <w:t>PositionBook、PnL Engine 与 NAV Engine</w:t>
            </w:r>
          </w:p>
        </w:tc>
      </w:tr>
      <w:tr>
        <w:tc>
          <w:tcPr>
            <w:tcW w:type="dxa" w:w="4320"/>
            <w:vAlign w:val="center"/>
          </w:tcPr>
          <w:p>
            <w:r>
              <w:rPr>
                <w:rFonts w:ascii="Calibri" w:hAnsi="Calibri" w:eastAsia="Microsoft YaHei"/>
                <w:b w:val="0"/>
                <w:sz w:val="18"/>
              </w:rPr>
              <w:t>风险层</w:t>
            </w:r>
          </w:p>
        </w:tc>
        <w:tc>
          <w:tcPr>
            <w:tcW w:type="dxa" w:w="4320"/>
            <w:vAlign w:val="center"/>
          </w:tcPr>
          <w:p>
            <w:r>
              <w:rPr>
                <w:rFonts w:ascii="Calibri" w:hAnsi="Calibri" w:eastAsia="Microsoft YaHei"/>
                <w:b w:val="0"/>
                <w:sz w:val="18"/>
              </w:rPr>
              <w:t>Greeks 聚合、风险规则、风险分类及对冲建议</w:t>
            </w:r>
          </w:p>
        </w:tc>
      </w:tr>
      <w:tr>
        <w:tc>
          <w:tcPr>
            <w:tcW w:type="dxa" w:w="4320"/>
            <w:vAlign w:val="center"/>
          </w:tcPr>
          <w:p>
            <w:r>
              <w:rPr>
                <w:rFonts w:ascii="Calibri" w:hAnsi="Calibri" w:eastAsia="Microsoft YaHei"/>
                <w:b w:val="0"/>
                <w:sz w:val="18"/>
              </w:rPr>
              <w:t>监控层</w:t>
            </w:r>
          </w:p>
        </w:tc>
        <w:tc>
          <w:tcPr>
            <w:tcW w:type="dxa" w:w="4320"/>
            <w:vAlign w:val="center"/>
          </w:tcPr>
          <w:p>
            <w:r>
              <w:rPr>
                <w:rFonts w:ascii="Calibri" w:hAnsi="Calibri" w:eastAsia="Microsoft YaHei"/>
                <w:b w:val="0"/>
                <w:sz w:val="18"/>
              </w:rPr>
              <w:t>GreekMonitor、PortfolioMonitor 与 AlertEngine</w:t>
            </w:r>
          </w:p>
        </w:tc>
      </w:tr>
      <w:tr>
        <w:tc>
          <w:tcPr>
            <w:tcW w:type="dxa" w:w="4320"/>
            <w:vAlign w:val="center"/>
          </w:tcPr>
          <w:p>
            <w:r>
              <w:rPr>
                <w:rFonts w:ascii="Calibri" w:hAnsi="Calibri" w:eastAsia="Microsoft YaHei"/>
                <w:b w:val="0"/>
                <w:sz w:val="18"/>
              </w:rPr>
              <w:t>报告层</w:t>
            </w:r>
          </w:p>
        </w:tc>
        <w:tc>
          <w:tcPr>
            <w:tcW w:type="dxa" w:w="4320"/>
            <w:vAlign w:val="center"/>
          </w:tcPr>
          <w:p>
            <w:r>
              <w:rPr>
                <w:rFonts w:ascii="Calibri" w:hAnsi="Calibri" w:eastAsia="Microsoft YaHei"/>
                <w:b w:val="0"/>
                <w:sz w:val="18"/>
              </w:rPr>
              <w:t>文本报告、Word 白皮书、研究图表及可复用文档模块</w:t>
            </w:r>
          </w:p>
        </w:tc>
      </w:tr>
    </w:tbl>
    <w:p>
      <w:pPr>
        <w:jc w:val="center"/>
      </w:pPr>
      <w:r>
        <w:rPr>
          <w:rFonts w:ascii="Calibri" w:hAnsi="Calibri" w:eastAsia="Microsoft YaHei"/>
          <w:i/>
          <w:sz w:val="18"/>
        </w:rPr>
        <w:t>量化期权研究平台采用自下而上的模块化分层设计。各层分别承担数据处理、策略研究、投资组合管理、风险监控、系统监测与自动化报告等职责，并通过标准化接口完成信息传递。</w:t>
      </w:r>
    </w:p>
    <w:p>
      <w:r>
        <w:rPr>
          <w:rFonts w:ascii="Calibri" w:hAnsi="Calibri" w:eastAsia="Microsoft YaHei"/>
          <w:b w:val="0"/>
          <w:i w:val="0"/>
          <w:sz w:val="22"/>
        </w:rPr>
        <w:t>平台整体采用流水线式的数据传递机制。上一层模块产生的标准化输出，将作为下一层模块的输入，从而保证不同研究步骤之间具有一致的数据口径，并支持流程重跑、结果复核及后续功能扩展。</w:t>
      </w:r>
    </w:p>
    <w:p>
      <w:r>
        <w:br w:type="page"/>
      </w:r>
    </w:p>
    <w:p>
      <w:pPr>
        <w:pStyle w:val="Heading1"/>
      </w:pPr>
      <w:r>
        <w:rPr>
          <w:rFonts w:ascii="Calibri" w:hAnsi="Calibri" w:eastAsia="Microsoft YaHei"/>
          <w:b/>
          <w:sz w:val="32"/>
        </w:rPr>
        <w:t>10. 策略库扩展与管理</w:t>
      </w:r>
    </w:p>
    <w:p>
      <w:r>
        <w:rPr>
          <w:rFonts w:ascii="Calibri" w:hAnsi="Calibri" w:eastAsia="Microsoft YaHei"/>
          <w:b w:val="0"/>
          <w:i w:val="0"/>
          <w:sz w:val="22"/>
        </w:rPr>
        <w:t>策略层已经由第一阶段的单一波动率策略原型，扩展为结构化、可注册且便于维护的策略库。平台通过统一的 StrategyRecord 保存每项策略的研究动机、构建规则、Greeks 特征、证据状态、表现摘要、当前局限及后续研究路线。</w:t>
      </w:r>
    </w:p>
    <w:p>
      <w:pPr>
        <w:pStyle w:val="Heading2"/>
      </w:pPr>
      <w:r>
        <w:rPr>
          <w:rFonts w:ascii="Calibri" w:hAnsi="Calibri" w:eastAsia="Microsoft YaHei"/>
          <w:b/>
          <w:sz w:val="26"/>
        </w:rPr>
        <w:t>10.1 策略注册表概览</w:t>
      </w:r>
    </w:p>
    <w:p>
      <w:pPr>
        <w:jc w:val="center"/>
      </w:pPr>
      <w:r>
        <w:rPr>
          <w:rFonts w:ascii="Calibri" w:hAnsi="Calibri" w:eastAsia="Microsoft YaHei"/>
          <w:b/>
          <w:sz w:val="20"/>
        </w:rPr>
        <w:t>表 10.1 策略注册表概览</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tcPr>
          <w:p>
            <w:r>
              <w:rPr>
                <w:rFonts w:ascii="Calibri" w:hAnsi="Calibri" w:eastAsia="Microsoft YaHei"/>
                <w:b/>
                <w:sz w:val="18"/>
              </w:rPr>
              <w:t>ID</w:t>
            </w:r>
          </w:p>
        </w:tc>
        <w:tc>
          <w:tcPr>
            <w:tcW w:type="dxa" w:w="1080"/>
            <w:vAlign w:val="center"/>
          </w:tcPr>
          <w:p>
            <w:r>
              <w:rPr>
                <w:rFonts w:ascii="Calibri" w:hAnsi="Calibri" w:eastAsia="Microsoft YaHei"/>
                <w:b/>
                <w:sz w:val="18"/>
              </w:rPr>
              <w:t>策略名称</w:t>
            </w:r>
          </w:p>
        </w:tc>
        <w:tc>
          <w:tcPr>
            <w:tcW w:type="dxa" w:w="1080"/>
            <w:vAlign w:val="center"/>
          </w:tcPr>
          <w:p>
            <w:r>
              <w:rPr>
                <w:rFonts w:ascii="Calibri" w:hAnsi="Calibri" w:eastAsia="Microsoft YaHei"/>
                <w:b/>
                <w:sz w:val="18"/>
              </w:rPr>
              <w:t>策略类别</w:t>
            </w:r>
          </w:p>
        </w:tc>
        <w:tc>
          <w:tcPr>
            <w:tcW w:type="dxa" w:w="1080"/>
            <w:vAlign w:val="center"/>
          </w:tcPr>
          <w:p>
            <w:r>
              <w:rPr>
                <w:rFonts w:ascii="Calibri" w:hAnsi="Calibri" w:eastAsia="Microsoft YaHei"/>
                <w:b/>
                <w:sz w:val="18"/>
              </w:rPr>
              <w:t>实现阶段</w:t>
            </w:r>
          </w:p>
        </w:tc>
        <w:tc>
          <w:tcPr>
            <w:tcW w:type="dxa" w:w="1080"/>
            <w:vAlign w:val="center"/>
          </w:tcPr>
          <w:p>
            <w:r>
              <w:rPr>
                <w:rFonts w:ascii="Calibri" w:hAnsi="Calibri" w:eastAsia="Microsoft YaHei"/>
                <w:b/>
                <w:sz w:val="18"/>
              </w:rPr>
              <w:t>Impl.</w:t>
            </w:r>
          </w:p>
        </w:tc>
        <w:tc>
          <w:tcPr>
            <w:tcW w:type="dxa" w:w="1080"/>
            <w:vAlign w:val="center"/>
          </w:tcPr>
          <w:p>
            <w:r>
              <w:rPr>
                <w:rFonts w:ascii="Calibri" w:hAnsi="Calibri" w:eastAsia="Microsoft YaHei"/>
                <w:b/>
                <w:sz w:val="18"/>
              </w:rPr>
              <w:t>投资组合接入</w:t>
            </w:r>
          </w:p>
        </w:tc>
        <w:tc>
          <w:tcPr>
            <w:tcW w:type="dxa" w:w="1080"/>
            <w:vAlign w:val="center"/>
          </w:tcPr>
          <w:p>
            <w:r>
              <w:rPr>
                <w:rFonts w:ascii="Calibri" w:hAnsi="Calibri" w:eastAsia="Microsoft YaHei"/>
                <w:b/>
                <w:sz w:val="18"/>
              </w:rPr>
              <w:t>风险监控</w:t>
            </w:r>
          </w:p>
        </w:tc>
        <w:tc>
          <w:tcPr>
            <w:tcW w:type="dxa" w:w="1080"/>
            <w:vAlign w:val="center"/>
          </w:tcPr>
          <w:p>
            <w:r>
              <w:rPr>
                <w:rFonts w:ascii="Calibri" w:hAnsi="Calibri" w:eastAsia="Microsoft YaHei"/>
                <w:b/>
                <w:sz w:val="18"/>
              </w:rPr>
              <w:t>对冲支持</w:t>
            </w:r>
          </w:p>
        </w:tc>
      </w:tr>
      <w:tr>
        <w:tc>
          <w:tcPr>
            <w:tcW w:type="dxa" w:w="1080"/>
            <w:vAlign w:val="center"/>
          </w:tcPr>
          <w:p>
            <w:r>
              <w:rPr>
                <w:rFonts w:ascii="Calibri" w:hAnsi="Calibri" w:eastAsia="Microsoft YaHei"/>
                <w:b w:val="0"/>
                <w:sz w:val="18"/>
              </w:rPr>
              <w:t>S001</w:t>
            </w:r>
          </w:p>
        </w:tc>
        <w:tc>
          <w:tcPr>
            <w:tcW w:type="dxa" w:w="1080"/>
            <w:vAlign w:val="center"/>
          </w:tcPr>
          <w:p>
            <w:r>
              <w:rPr>
                <w:rFonts w:ascii="Calibri" w:hAnsi="Calibri" w:eastAsia="Microsoft YaHei"/>
                <w:b w:val="0"/>
                <w:sz w:val="18"/>
              </w:rPr>
              <w:t>Long ATM Strangle</w:t>
            </w:r>
          </w:p>
        </w:tc>
        <w:tc>
          <w:tcPr>
            <w:tcW w:type="dxa" w:w="1080"/>
            <w:vAlign w:val="center"/>
          </w:tcPr>
          <w:p>
            <w:r>
              <w:rPr>
                <w:rFonts w:ascii="Calibri" w:hAnsi="Calibri" w:eastAsia="Microsoft YaHei"/>
                <w:b w:val="0"/>
                <w:sz w:val="18"/>
              </w:rPr>
              <w:t>Volatility</w:t>
            </w:r>
          </w:p>
        </w:tc>
        <w:tc>
          <w:tcPr>
            <w:tcW w:type="dxa" w:w="1080"/>
            <w:vAlign w:val="center"/>
          </w:tcPr>
          <w:p>
            <w:r>
              <w:rPr>
                <w:rFonts w:ascii="Calibri" w:hAnsi="Calibri" w:eastAsia="Microsoft YaHei"/>
                <w:b w:val="0"/>
                <w:sz w:val="18"/>
              </w:rPr>
              <w:t>Prototype</w:t>
            </w:r>
          </w:p>
        </w:tc>
        <w:tc>
          <w:tcPr>
            <w:tcW w:type="dxa" w:w="1080"/>
            <w:vAlign w:val="center"/>
          </w:tcPr>
          <w:p>
            <w:r>
              <w:rPr>
                <w:rFonts w:ascii="Calibri" w:hAnsi="Calibri" w:eastAsia="Microsoft YaHei"/>
                <w:b w:val="0"/>
                <w:sz w:val="18"/>
              </w:rPr>
              <w:t>Completed</w:t>
            </w:r>
          </w:p>
        </w:tc>
        <w:tc>
          <w:tcPr>
            <w:tcW w:type="dxa" w:w="1080"/>
            <w:vAlign w:val="center"/>
          </w:tcPr>
          <w:p>
            <w:r>
              <w:rPr>
                <w:rFonts w:ascii="Calibri" w:hAnsi="Calibri" w:eastAsia="Microsoft YaHei"/>
                <w:b w:val="0"/>
                <w:sz w:val="18"/>
              </w:rPr>
              <w:t>Yes</w:t>
            </w:r>
          </w:p>
        </w:tc>
        <w:tc>
          <w:tcPr>
            <w:tcW w:type="dxa" w:w="1080"/>
            <w:vAlign w:val="center"/>
          </w:tcPr>
          <w:p>
            <w:r>
              <w:rPr>
                <w:rFonts w:ascii="Calibri" w:hAnsi="Calibri" w:eastAsia="Microsoft YaHei"/>
                <w:b w:val="0"/>
                <w:sz w:val="18"/>
              </w:rPr>
              <w:t>Yes</w:t>
            </w:r>
          </w:p>
        </w:tc>
        <w:tc>
          <w:tcPr>
            <w:tcW w:type="dxa" w:w="1080"/>
            <w:vAlign w:val="center"/>
          </w:tcPr>
          <w:p>
            <w:r>
              <w:rPr>
                <w:rFonts w:ascii="Calibri" w:hAnsi="Calibri" w:eastAsia="Microsoft YaHei"/>
                <w:b w:val="0"/>
                <w:sz w:val="18"/>
              </w:rPr>
              <w:t>Yes</w:t>
            </w:r>
          </w:p>
        </w:tc>
      </w:tr>
      <w:tr>
        <w:tc>
          <w:tcPr>
            <w:tcW w:type="dxa" w:w="1080"/>
            <w:vAlign w:val="center"/>
          </w:tcPr>
          <w:p>
            <w:r>
              <w:rPr>
                <w:rFonts w:ascii="Calibri" w:hAnsi="Calibri" w:eastAsia="Microsoft YaHei"/>
                <w:b w:val="0"/>
                <w:sz w:val="18"/>
              </w:rPr>
              <w:t>S002</w:t>
            </w:r>
          </w:p>
        </w:tc>
        <w:tc>
          <w:tcPr>
            <w:tcW w:type="dxa" w:w="1080"/>
            <w:vAlign w:val="center"/>
          </w:tcPr>
          <w:p>
            <w:r>
              <w:rPr>
                <w:rFonts w:ascii="Calibri" w:hAnsi="Calibri" w:eastAsia="Microsoft YaHei"/>
                <w:b w:val="0"/>
                <w:sz w:val="18"/>
              </w:rPr>
              <w:t>Long Call Butterfly</w:t>
            </w:r>
          </w:p>
        </w:tc>
        <w:tc>
          <w:tcPr>
            <w:tcW w:type="dxa" w:w="1080"/>
            <w:vAlign w:val="center"/>
          </w:tcPr>
          <w:p>
            <w:r>
              <w:rPr>
                <w:rFonts w:ascii="Calibri" w:hAnsi="Calibri" w:eastAsia="Microsoft YaHei"/>
                <w:b w:val="0"/>
                <w:sz w:val="18"/>
              </w:rPr>
              <w:t>Convexity / Defined Risk</w:t>
            </w:r>
          </w:p>
        </w:tc>
        <w:tc>
          <w:tcPr>
            <w:tcW w:type="dxa" w:w="1080"/>
            <w:vAlign w:val="center"/>
          </w:tcPr>
          <w:p>
            <w:r>
              <w:rPr>
                <w:rFonts w:ascii="Calibri" w:hAnsi="Calibri" w:eastAsia="Microsoft YaHei"/>
                <w:b w:val="0"/>
                <w:sz w:val="18"/>
              </w:rPr>
              <w:t>Prototype</w:t>
            </w:r>
          </w:p>
        </w:tc>
        <w:tc>
          <w:tcPr>
            <w:tcW w:type="dxa" w:w="1080"/>
            <w:vAlign w:val="center"/>
          </w:tcPr>
          <w:p>
            <w:r>
              <w:rPr>
                <w:rFonts w:ascii="Calibri" w:hAnsi="Calibri" w:eastAsia="Microsoft YaHei"/>
                <w:b w:val="0"/>
                <w:sz w:val="18"/>
              </w:rPr>
              <w:t>Completed</w:t>
            </w:r>
          </w:p>
        </w:tc>
        <w:tc>
          <w:tcPr>
            <w:tcW w:type="dxa" w:w="1080"/>
            <w:vAlign w:val="center"/>
          </w:tcPr>
          <w:p>
            <w:r>
              <w:rPr>
                <w:rFonts w:ascii="Calibri" w:hAnsi="Calibri" w:eastAsia="Microsoft YaHei"/>
                <w:b w:val="0"/>
                <w:sz w:val="18"/>
              </w:rPr>
              <w:t>Yes</w:t>
            </w:r>
          </w:p>
        </w:tc>
        <w:tc>
          <w:tcPr>
            <w:tcW w:type="dxa" w:w="1080"/>
            <w:vAlign w:val="center"/>
          </w:tcPr>
          <w:p>
            <w:r>
              <w:rPr>
                <w:rFonts w:ascii="Calibri" w:hAnsi="Calibri" w:eastAsia="Microsoft YaHei"/>
                <w:b w:val="0"/>
                <w:sz w:val="18"/>
              </w:rPr>
              <w:t>Yes</w:t>
            </w:r>
          </w:p>
        </w:tc>
        <w:tc>
          <w:tcPr>
            <w:tcW w:type="dxa" w:w="1080"/>
            <w:vAlign w:val="center"/>
          </w:tcPr>
          <w:p>
            <w:r>
              <w:rPr>
                <w:rFonts w:ascii="Calibri" w:hAnsi="Calibri" w:eastAsia="Microsoft YaHei"/>
                <w:b w:val="0"/>
                <w:sz w:val="18"/>
              </w:rPr>
              <w:t>Yes</w:t>
            </w:r>
          </w:p>
        </w:tc>
      </w:tr>
      <w:tr>
        <w:tc>
          <w:tcPr>
            <w:tcW w:type="dxa" w:w="1080"/>
            <w:vAlign w:val="center"/>
          </w:tcPr>
          <w:p>
            <w:r>
              <w:rPr>
                <w:rFonts w:ascii="Calibri" w:hAnsi="Calibri" w:eastAsia="Microsoft YaHei"/>
                <w:b w:val="0"/>
                <w:sz w:val="18"/>
              </w:rPr>
              <w:t>S003</w:t>
            </w:r>
          </w:p>
        </w:tc>
        <w:tc>
          <w:tcPr>
            <w:tcW w:type="dxa" w:w="1080"/>
            <w:vAlign w:val="center"/>
          </w:tcPr>
          <w:p>
            <w:r>
              <w:rPr>
                <w:rFonts w:ascii="Calibri" w:hAnsi="Calibri" w:eastAsia="Microsoft YaHei"/>
                <w:b w:val="0"/>
                <w:sz w:val="18"/>
              </w:rPr>
              <w:t>Calendar Spread</w:t>
            </w:r>
          </w:p>
        </w:tc>
        <w:tc>
          <w:tcPr>
            <w:tcW w:type="dxa" w:w="1080"/>
            <w:vAlign w:val="center"/>
          </w:tcPr>
          <w:p>
            <w:r>
              <w:rPr>
                <w:rFonts w:ascii="Calibri" w:hAnsi="Calibri" w:eastAsia="Microsoft YaHei"/>
                <w:b w:val="0"/>
                <w:sz w:val="18"/>
              </w:rPr>
              <w:t>Term Structure</w:t>
            </w:r>
          </w:p>
        </w:tc>
        <w:tc>
          <w:tcPr>
            <w:tcW w:type="dxa" w:w="1080"/>
            <w:vAlign w:val="center"/>
          </w:tcPr>
          <w:p>
            <w:r>
              <w:rPr>
                <w:rFonts w:ascii="Calibri" w:hAnsi="Calibri" w:eastAsia="Microsoft YaHei"/>
                <w:b w:val="0"/>
                <w:sz w:val="18"/>
              </w:rPr>
              <w:t>Prototype</w:t>
            </w:r>
          </w:p>
        </w:tc>
        <w:tc>
          <w:tcPr>
            <w:tcW w:type="dxa" w:w="1080"/>
            <w:vAlign w:val="center"/>
          </w:tcPr>
          <w:p>
            <w:r>
              <w:rPr>
                <w:rFonts w:ascii="Calibri" w:hAnsi="Calibri" w:eastAsia="Microsoft YaHei"/>
                <w:b w:val="0"/>
                <w:sz w:val="18"/>
              </w:rPr>
              <w:t>Completed</w:t>
            </w:r>
          </w:p>
        </w:tc>
        <w:tc>
          <w:tcPr>
            <w:tcW w:type="dxa" w:w="1080"/>
            <w:vAlign w:val="center"/>
          </w:tcPr>
          <w:p>
            <w:r>
              <w:rPr>
                <w:rFonts w:ascii="Calibri" w:hAnsi="Calibri" w:eastAsia="Microsoft YaHei"/>
                <w:b w:val="0"/>
                <w:sz w:val="18"/>
              </w:rPr>
              <w:t>Yes</w:t>
            </w:r>
          </w:p>
        </w:tc>
        <w:tc>
          <w:tcPr>
            <w:tcW w:type="dxa" w:w="1080"/>
            <w:vAlign w:val="center"/>
          </w:tcPr>
          <w:p>
            <w:r>
              <w:rPr>
                <w:rFonts w:ascii="Calibri" w:hAnsi="Calibri" w:eastAsia="Microsoft YaHei"/>
                <w:b w:val="0"/>
                <w:sz w:val="18"/>
              </w:rPr>
              <w:t>Yes</w:t>
            </w:r>
          </w:p>
        </w:tc>
        <w:tc>
          <w:tcPr>
            <w:tcW w:type="dxa" w:w="1080"/>
            <w:vAlign w:val="center"/>
          </w:tcPr>
          <w:p>
            <w:r>
              <w:rPr>
                <w:rFonts w:ascii="Calibri" w:hAnsi="Calibri" w:eastAsia="Microsoft YaHei"/>
                <w:b w:val="0"/>
                <w:sz w:val="18"/>
              </w:rPr>
              <w:t>Yes</w:t>
            </w:r>
          </w:p>
        </w:tc>
      </w:tr>
    </w:tbl>
    <w:p>
      <w:pPr>
        <w:jc w:val="center"/>
      </w:pPr>
      <w:r>
        <w:rPr>
          <w:rFonts w:ascii="Calibri" w:hAnsi="Calibri" w:eastAsia="Microsoft YaHei"/>
          <w:i/>
          <w:sz w:val="18"/>
        </w:rPr>
        <w:t>当前已注册期权策略的总体情况，包括策略类别、实现阶段、投资组合接入、风险监控及对冲支持状态。</w:t>
      </w:r>
    </w:p>
    <w:p>
      <w:r>
        <w:rPr>
          <w:rFonts w:ascii="Calibri" w:hAnsi="Calibri" w:eastAsia="Microsoft YaHei"/>
          <w:b w:val="0"/>
          <w:i w:val="0"/>
          <w:sz w:val="22"/>
        </w:rPr>
        <w:t>基于注册表的架构提高了策略层的扩展能力。未来增加铁鹰式、对角价差、比例价差或波动率相对价值策略时，只需注册新的策略记录，无需重新编写整套文档生成流程。</w:t>
      </w:r>
    </w:p>
    <w:p>
      <w:pPr>
        <w:pStyle w:val="Heading2"/>
      </w:pPr>
      <w:r>
        <w:rPr>
          <w:rFonts w:ascii="Calibri" w:hAnsi="Calibri" w:eastAsia="Microsoft YaHei"/>
          <w:b/>
          <w:sz w:val="26"/>
        </w:rPr>
        <w:t>10.2 当前核心策略</w:t>
      </w:r>
    </w:p>
    <w:p>
      <w:pPr>
        <w:pStyle w:val="Heading3"/>
      </w:pPr>
      <w:r>
        <w:rPr>
          <w:rFonts w:ascii="Calibri" w:hAnsi="Calibri" w:eastAsia="Microsoft YaHei"/>
          <w:b/>
          <w:sz w:val="22"/>
        </w:rPr>
        <w:t>多头 ATM 宽跨式（Long ATM Strangle）</w:t>
      </w:r>
    </w:p>
    <w:p>
      <w:r>
        <w:rPr>
          <w:rFonts w:ascii="Calibri" w:hAnsi="Calibri" w:eastAsia="Microsoft YaHei"/>
          <w:b w:val="0"/>
          <w:i w:val="0"/>
          <w:sz w:val="22"/>
        </w:rPr>
        <w:t>通过同时持有看涨期权与看跌期权建立多头波动率敞口，适用于预期标的资产将出现较大波动、但方向不确定的市场环境。</w:t>
      </w:r>
    </w:p>
    <w:p>
      <w:pPr>
        <w:pStyle w:val="Heading3"/>
      </w:pPr>
      <w:r>
        <w:rPr>
          <w:rFonts w:ascii="Calibri" w:hAnsi="Calibri" w:eastAsia="Microsoft YaHei"/>
          <w:b/>
          <w:sz w:val="22"/>
        </w:rPr>
        <w:t>多头看涨蝶式价差（Long Call Butterfly）</w:t>
      </w:r>
    </w:p>
    <w:p>
      <w:r>
        <w:rPr>
          <w:rFonts w:ascii="Calibri" w:hAnsi="Calibri" w:eastAsia="Microsoft YaHei"/>
          <w:b w:val="0"/>
          <w:i w:val="0"/>
          <w:sz w:val="22"/>
        </w:rPr>
        <w:t>通过三档执行价格构建风险有限的凸性结构，适用于预期标的价格将在中间执行价格附近运行的市场环境。</w:t>
      </w:r>
    </w:p>
    <w:p>
      <w:pPr>
        <w:pStyle w:val="Heading3"/>
      </w:pPr>
      <w:r>
        <w:rPr>
          <w:rFonts w:ascii="Calibri" w:hAnsi="Calibri" w:eastAsia="Microsoft YaHei"/>
          <w:b/>
          <w:sz w:val="22"/>
        </w:rPr>
        <w:t>日历价差（Calendar Spread）</w:t>
      </w:r>
    </w:p>
    <w:p>
      <w:r>
        <w:rPr>
          <w:rFonts w:ascii="Calibri" w:hAnsi="Calibri" w:eastAsia="Microsoft YaHei"/>
          <w:b w:val="0"/>
          <w:i w:val="0"/>
          <w:sz w:val="22"/>
        </w:rPr>
        <w:t>通过近月与远月期权之间的相对定价差异建立期限结构敞口，适用于研究波动率期限结构和时间价值差异。</w:t>
      </w:r>
    </w:p>
    <w:p>
      <w:r>
        <w:rPr>
          <w:rFonts w:ascii="Calibri" w:hAnsi="Calibri" w:eastAsia="Microsoft YaHei"/>
          <w:b w:val="0"/>
          <w:i w:val="0"/>
          <w:sz w:val="22"/>
        </w:rPr>
        <w:t>当前策略卡片模块采用统一 StrategyRecord 架构，后续版本将进一步扩展更多策略类型及详细案例分析。策略的数值表现和证据状态仍以当前 Strategy Registry 中的数据为准。</w:t>
      </w:r>
    </w:p>
    <w:p>
      <w:r>
        <w:br w:type="page"/>
      </w:r>
    </w:p>
    <w:p>
      <w:pPr>
        <w:pStyle w:val="Heading1"/>
      </w:pPr>
      <w:r>
        <w:rPr>
          <w:rFonts w:ascii="Calibri" w:hAnsi="Calibri" w:eastAsia="Microsoft YaHei"/>
          <w:b/>
          <w:sz w:val="32"/>
        </w:rPr>
        <w:t>11. 投资组合管理模块</w:t>
      </w:r>
    </w:p>
    <w:p>
      <w:r>
        <w:rPr>
          <w:rFonts w:ascii="Calibri" w:hAnsi="Calibri" w:eastAsia="Microsoft YaHei"/>
          <w:b w:val="0"/>
          <w:i w:val="0"/>
          <w:sz w:val="22"/>
        </w:rPr>
        <w:t>投资组合管理模块负责将策略层生成的交易结果统一转换为标准化持仓，并进一步完成损益计算、净值更新、风险汇总及绩效分析。该模块是连接策略研究、风险监控、对冲建议及自动化报告的核心集成层。</w:t>
      </w:r>
    </w:p>
    <w:p>
      <w:pPr>
        <w:pStyle w:val="Heading2"/>
      </w:pPr>
      <w:r>
        <w:rPr>
          <w:rFonts w:ascii="Calibri" w:hAnsi="Calibri" w:eastAsia="Microsoft YaHei"/>
          <w:b/>
          <w:sz w:val="26"/>
        </w:rPr>
        <w:t>11.1 设计目标</w:t>
      </w:r>
    </w:p>
    <w:p>
      <w:r>
        <w:rPr>
          <w:rFonts w:ascii="Calibri" w:hAnsi="Calibri" w:eastAsia="Microsoft YaHei"/>
          <w:b w:val="0"/>
          <w:i w:val="0"/>
          <w:sz w:val="22"/>
        </w:rPr>
        <w:t>Portfolio Engine 的设计目标是统一管理不同策略生成的持仓，并建立标准化的数据流，使后续风险分析、绩效评估及自动化报告能够共享同一套投资组合数据。</w:t>
      </w:r>
    </w:p>
    <w:p>
      <w:pPr>
        <w:pStyle w:val="ListBullet"/>
      </w:pPr>
      <w:r>
        <w:rPr>
          <w:rFonts w:ascii="Calibri" w:hAnsi="Calibri" w:eastAsia="Microsoft YaHei"/>
          <w:sz w:val="22"/>
        </w:rPr>
        <w:t>将不同策略输出转换为统一的投资组合持仓。</w:t>
      </w:r>
    </w:p>
    <w:p>
      <w:pPr>
        <w:pStyle w:val="ListBullet"/>
      </w:pPr>
      <w:r>
        <w:rPr>
          <w:rFonts w:ascii="Calibri" w:hAnsi="Calibri" w:eastAsia="Microsoft YaHei"/>
          <w:sz w:val="22"/>
        </w:rPr>
        <w:t>持续维护当前未平仓头寸。</w:t>
      </w:r>
    </w:p>
    <w:p>
      <w:pPr>
        <w:pStyle w:val="ListBullet"/>
      </w:pPr>
      <w:r>
        <w:rPr>
          <w:rFonts w:ascii="Calibri" w:hAnsi="Calibri" w:eastAsia="Microsoft YaHei"/>
          <w:sz w:val="22"/>
        </w:rPr>
        <w:t>计算持仓层面及投资组合层面的损益。</w:t>
      </w:r>
    </w:p>
    <w:p>
      <w:pPr>
        <w:pStyle w:val="ListBullet"/>
      </w:pPr>
      <w:r>
        <w:rPr>
          <w:rFonts w:ascii="Calibri" w:hAnsi="Calibri" w:eastAsia="Microsoft YaHei"/>
          <w:sz w:val="22"/>
        </w:rPr>
        <w:t>维护净值（NAV）、累计收益率及最大回撤。</w:t>
      </w:r>
    </w:p>
    <w:p>
      <w:pPr>
        <w:pStyle w:val="ListBullet"/>
      </w:pPr>
      <w:r>
        <w:rPr>
          <w:rFonts w:ascii="Calibri" w:hAnsi="Calibri" w:eastAsia="Microsoft YaHei"/>
          <w:sz w:val="22"/>
        </w:rPr>
        <w:t>向风险监控模块提供统一的 Greeks 信息。</w:t>
      </w:r>
    </w:p>
    <w:p>
      <w:pPr>
        <w:pStyle w:val="ListBullet"/>
      </w:pPr>
      <w:r>
        <w:rPr>
          <w:rFonts w:ascii="Calibri" w:hAnsi="Calibri" w:eastAsia="Microsoft YaHei"/>
          <w:sz w:val="22"/>
        </w:rPr>
        <w:t>支持空仓交易日和有持仓交易日。</w:t>
      </w:r>
    </w:p>
    <w:p>
      <w:pPr>
        <w:pStyle w:val="Heading2"/>
      </w:pPr>
      <w:r>
        <w:rPr>
          <w:rFonts w:ascii="Calibri" w:hAnsi="Calibri" w:eastAsia="Microsoft YaHei"/>
          <w:b/>
          <w:sz w:val="26"/>
        </w:rPr>
        <w:t>11.2 投资组合架构</w:t>
      </w:r>
    </w:p>
    <w:p>
      <w:r>
        <w:rPr>
          <w:rFonts w:ascii="Calibri" w:hAnsi="Calibri" w:eastAsia="Microsoft YaHei"/>
          <w:b w:val="0"/>
          <w:i w:val="0"/>
          <w:sz w:val="22"/>
        </w:rPr>
        <w:t>投资组合管理模块位于策略层与风险层之间。不同策略首先生成标准化交易结果，随后进入 PositionBook，再依次完成损益计算、净值更新、风险聚合及报告生成。</w:t>
      </w:r>
    </w:p>
    <w:p>
      <w:r>
        <w:rPr>
          <w:rFonts w:ascii="Consolas" w:hAnsi="Consolas" w:eastAsia="Microsoft YaHei"/>
          <w:sz w:val="18"/>
        </w:rPr>
        <w:br/>
        <w:t>Strategy Layer</w:t>
        <w:br/>
        <w:t>│</w:t>
        <w:br/>
        <w:t>├── Long ATM Strangle</w:t>
        <w:br/>
        <w:t>├── Long Call Butterfly</w:t>
        <w:br/>
        <w:t>└── Calendar Spread</w:t>
        <w:br/>
        <w:br/>
        <w:t>↓</w:t>
        <w:br/>
        <w:br/>
        <w:t>PositionBook</w:t>
        <w:br/>
        <w:br/>
        <w:t>↓</w:t>
        <w:br/>
        <w:br/>
        <w:t>PnL Engine</w:t>
        <w:br/>
        <w:br/>
        <w:t>↓</w:t>
        <w:br/>
        <w:br/>
        <w:t>NAV Engine</w:t>
        <w:br/>
        <w:br/>
        <w:t>↓</w:t>
        <w:br/>
        <w:br/>
        <w:t>Risk Engine</w:t>
        <w:br/>
        <w:br/>
        <w:t>↓</w:t>
        <w:br/>
        <w:br/>
        <w:t>Hedge Recommendation</w:t>
        <w:br/>
        <w:br/>
        <w:t>↓</w:t>
        <w:br/>
        <w:br/>
        <w:t>Monitoring</w:t>
        <w:br/>
        <w:br/>
        <w:t>↓</w:t>
        <w:br/>
        <w:br/>
        <w:t>Research Report</w:t>
        <w:br/>
      </w:r>
    </w:p>
    <w:p>
      <w:pPr>
        <w:pStyle w:val="Heading2"/>
      </w:pPr>
      <w:r>
        <w:rPr>
          <w:rFonts w:ascii="Calibri" w:hAnsi="Calibri" w:eastAsia="Microsoft YaHei"/>
          <w:b/>
          <w:sz w:val="26"/>
        </w:rPr>
        <w:t>11.3 核心组件</w:t>
      </w:r>
    </w:p>
    <w:p>
      <w:pPr>
        <w:jc w:val="center"/>
      </w:pPr>
      <w:r>
        <w:rPr>
          <w:rFonts w:ascii="Calibri" w:hAnsi="Calibri" w:eastAsia="Microsoft YaHei"/>
          <w:b/>
          <w:sz w:val="20"/>
        </w:rPr>
        <w:t>表 11.1 投资组合核心组件</w:t>
      </w:r>
    </w:p>
    <w:tbl>
      <w:tblPr>
        <w:tblStyle w:val="TableGrid"/>
        <w:tblW w:type="auto" w:w="0"/>
        <w:tblLook w:firstColumn="1" w:firstRow="1" w:lastColumn="0" w:lastRow="0" w:noHBand="0" w:noVBand="1" w:val="04A0"/>
      </w:tblPr>
      <w:tblGrid>
        <w:gridCol w:w="4320"/>
        <w:gridCol w:w="4320"/>
      </w:tblGrid>
      <w:tr>
        <w:tc>
          <w:tcPr>
            <w:tcW w:type="dxa" w:w="4320"/>
            <w:vAlign w:val="center"/>
          </w:tcPr>
          <w:p>
            <w:r>
              <w:rPr>
                <w:rFonts w:ascii="Calibri" w:hAnsi="Calibri" w:eastAsia="Microsoft YaHei"/>
                <w:b/>
                <w:sz w:val="18"/>
              </w:rPr>
              <w:t>模块</w:t>
            </w:r>
          </w:p>
        </w:tc>
        <w:tc>
          <w:tcPr>
            <w:tcW w:type="dxa" w:w="4320"/>
            <w:vAlign w:val="center"/>
          </w:tcPr>
          <w:p>
            <w:r>
              <w:rPr>
                <w:rFonts w:ascii="Calibri" w:hAnsi="Calibri" w:eastAsia="Microsoft YaHei"/>
                <w:b/>
                <w:sz w:val="18"/>
              </w:rPr>
              <w:t>主要职责</w:t>
            </w:r>
          </w:p>
        </w:tc>
      </w:tr>
      <w:tr>
        <w:tc>
          <w:tcPr>
            <w:tcW w:type="dxa" w:w="4320"/>
            <w:vAlign w:val="center"/>
          </w:tcPr>
          <w:p>
            <w:r>
              <w:rPr>
                <w:rFonts w:ascii="Calibri" w:hAnsi="Calibri" w:eastAsia="Microsoft YaHei"/>
                <w:b w:val="0"/>
                <w:sz w:val="18"/>
              </w:rPr>
              <w:t>PositionBook</w:t>
            </w:r>
          </w:p>
        </w:tc>
        <w:tc>
          <w:tcPr>
            <w:tcW w:type="dxa" w:w="4320"/>
            <w:vAlign w:val="center"/>
          </w:tcPr>
          <w:p>
            <w:r>
              <w:rPr>
                <w:rFonts w:ascii="Calibri" w:hAnsi="Calibri" w:eastAsia="Microsoft YaHei"/>
                <w:b w:val="0"/>
                <w:sz w:val="18"/>
              </w:rPr>
              <w:t>保存全部未平仓持仓及对应市场信息。</w:t>
            </w:r>
          </w:p>
        </w:tc>
      </w:tr>
      <w:tr>
        <w:tc>
          <w:tcPr>
            <w:tcW w:type="dxa" w:w="4320"/>
            <w:vAlign w:val="center"/>
          </w:tcPr>
          <w:p>
            <w:r>
              <w:rPr>
                <w:rFonts w:ascii="Calibri" w:hAnsi="Calibri" w:eastAsia="Microsoft YaHei"/>
                <w:b w:val="0"/>
                <w:sz w:val="18"/>
              </w:rPr>
              <w:t>PnL Engine</w:t>
            </w:r>
          </w:p>
        </w:tc>
        <w:tc>
          <w:tcPr>
            <w:tcW w:type="dxa" w:w="4320"/>
            <w:vAlign w:val="center"/>
          </w:tcPr>
          <w:p>
            <w:r>
              <w:rPr>
                <w:rFonts w:ascii="Calibri" w:hAnsi="Calibri" w:eastAsia="Microsoft YaHei"/>
                <w:b w:val="0"/>
                <w:sz w:val="18"/>
              </w:rPr>
              <w:t>计算持仓损益及投资组合收益。</w:t>
            </w:r>
          </w:p>
        </w:tc>
      </w:tr>
      <w:tr>
        <w:tc>
          <w:tcPr>
            <w:tcW w:type="dxa" w:w="4320"/>
            <w:vAlign w:val="center"/>
          </w:tcPr>
          <w:p>
            <w:r>
              <w:rPr>
                <w:rFonts w:ascii="Calibri" w:hAnsi="Calibri" w:eastAsia="Microsoft YaHei"/>
                <w:b w:val="0"/>
                <w:sz w:val="18"/>
              </w:rPr>
              <w:t>NAV Engine</w:t>
            </w:r>
          </w:p>
        </w:tc>
        <w:tc>
          <w:tcPr>
            <w:tcW w:type="dxa" w:w="4320"/>
            <w:vAlign w:val="center"/>
          </w:tcPr>
          <w:p>
            <w:r>
              <w:rPr>
                <w:rFonts w:ascii="Calibri" w:hAnsi="Calibri" w:eastAsia="Microsoft YaHei"/>
                <w:b w:val="0"/>
                <w:sz w:val="18"/>
              </w:rPr>
              <w:t>更新净值、累计收益率及回撤。</w:t>
            </w:r>
          </w:p>
        </w:tc>
      </w:tr>
      <w:tr>
        <w:tc>
          <w:tcPr>
            <w:tcW w:type="dxa" w:w="4320"/>
            <w:vAlign w:val="center"/>
          </w:tcPr>
          <w:p>
            <w:r>
              <w:rPr>
                <w:rFonts w:ascii="Calibri" w:hAnsi="Calibri" w:eastAsia="Microsoft YaHei"/>
                <w:b w:val="0"/>
                <w:sz w:val="18"/>
              </w:rPr>
              <w:t>Risk Snapshot</w:t>
            </w:r>
          </w:p>
        </w:tc>
        <w:tc>
          <w:tcPr>
            <w:tcW w:type="dxa" w:w="4320"/>
            <w:vAlign w:val="center"/>
          </w:tcPr>
          <w:p>
            <w:r>
              <w:rPr>
                <w:rFonts w:ascii="Calibri" w:hAnsi="Calibri" w:eastAsia="Microsoft YaHei"/>
                <w:b w:val="0"/>
                <w:sz w:val="18"/>
              </w:rPr>
              <w:t>汇总投资组合 Greeks 与风险状态。</w:t>
            </w:r>
          </w:p>
        </w:tc>
      </w:tr>
      <w:tr>
        <w:tc>
          <w:tcPr>
            <w:tcW w:type="dxa" w:w="4320"/>
            <w:vAlign w:val="center"/>
          </w:tcPr>
          <w:p>
            <w:r>
              <w:rPr>
                <w:rFonts w:ascii="Calibri" w:hAnsi="Calibri" w:eastAsia="Microsoft YaHei"/>
                <w:b w:val="0"/>
                <w:sz w:val="18"/>
              </w:rPr>
              <w:t>Portfolio Report</w:t>
            </w:r>
          </w:p>
        </w:tc>
        <w:tc>
          <w:tcPr>
            <w:tcW w:type="dxa" w:w="4320"/>
            <w:vAlign w:val="center"/>
          </w:tcPr>
          <w:p>
            <w:r>
              <w:rPr>
                <w:rFonts w:ascii="Calibri" w:hAnsi="Calibri" w:eastAsia="Microsoft YaHei"/>
                <w:b w:val="0"/>
                <w:sz w:val="18"/>
              </w:rPr>
              <w:t>向研究报告及自动化系统提供统一输出。</w:t>
            </w:r>
          </w:p>
        </w:tc>
      </w:tr>
    </w:tbl>
    <w:p>
      <w:pPr>
        <w:jc w:val="center"/>
      </w:pPr>
      <w:r>
        <w:rPr>
          <w:rFonts w:ascii="Calibri" w:hAnsi="Calibri" w:eastAsia="Microsoft YaHei"/>
          <w:i/>
          <w:sz w:val="18"/>
        </w:rPr>
        <w:t>投资组合管理模块由多个相互协作的组件组成，分别负责持仓管理、损益计算、净值维护及风险汇总。</w:t>
      </w:r>
    </w:p>
    <w:p>
      <w:r>
        <w:rPr>
          <w:rFonts w:ascii="Calibri" w:hAnsi="Calibri" w:eastAsia="Microsoft YaHei"/>
          <w:b w:val="0"/>
          <w:i w:val="0"/>
          <w:sz w:val="22"/>
        </w:rPr>
        <w:t>模块之间采用统一的数据接口连接。各组件均可独立维护，同时能够共享统一的数据格式，提高系统可扩展性和后续开发效率。</w:t>
      </w:r>
    </w:p>
    <w:p>
      <w:pPr>
        <w:pStyle w:val="Heading2"/>
      </w:pPr>
      <w:r>
        <w:rPr>
          <w:rFonts w:ascii="Calibri" w:hAnsi="Calibri" w:eastAsia="Microsoft YaHei"/>
          <w:b/>
          <w:sz w:val="26"/>
        </w:rPr>
        <w:t>11.4 PositionBook 示例</w:t>
      </w:r>
    </w:p>
    <w:p>
      <w:r>
        <w:rPr>
          <w:rFonts w:ascii="Calibri" w:hAnsi="Calibri" w:eastAsia="Microsoft YaHei"/>
          <w:b w:val="0"/>
          <w:i w:val="0"/>
          <w:sz w:val="22"/>
        </w:rPr>
        <w:t>PositionBook 保存当前所有未平仓头寸。每条记录均包含策略来源、交易信息、Greeks、持仓数量及当前市场价值，作为整个 Portfolio Engine 的基础数据对象。</w:t>
      </w:r>
    </w:p>
    <w:p>
      <w:r>
        <w:rPr>
          <w:rFonts w:ascii="Consolas" w:hAnsi="Consolas" w:eastAsia="Microsoft YaHei"/>
          <w:sz w:val="18"/>
        </w:rPr>
        <w:t>PositionBook</w:t>
        <w:br/>
        <w:t>├── Strategy ID</w:t>
        <w:br/>
        <w:t>├── Entry Date</w:t>
        <w:br/>
        <w:t>├── Option Symbol</w:t>
        <w:br/>
        <w:t>├── Quantity</w:t>
        <w:br/>
        <w:t>├── Entry Price</w:t>
        <w:br/>
        <w:t>├── Current Price</w:t>
        <w:br/>
        <w:t>├── Delta</w:t>
        <w:br/>
        <w:t>├── Gamma</w:t>
        <w:br/>
        <w:t>├── Vega</w:t>
        <w:br/>
        <w:t>├── Theta</w:t>
        <w:br/>
        <w:t>└── Unrealized PnL</w:t>
      </w:r>
    </w:p>
    <w:p>
      <w:r>
        <w:rPr>
          <w:rFonts w:ascii="Calibri" w:hAnsi="Calibri" w:eastAsia="Microsoft YaHei"/>
          <w:b w:val="0"/>
          <w:i w:val="0"/>
          <w:sz w:val="22"/>
        </w:rPr>
        <w:t>采用统一的数据结构后，不同策略能够共享同一套投资组合管理、风险分析及自动化报告模块，而无需针对每种策略单独开发管理逻辑。</w:t>
      </w:r>
    </w:p>
    <w:p>
      <w:pPr>
        <w:pStyle w:val="Heading2"/>
      </w:pPr>
      <w:r>
        <w:rPr>
          <w:rFonts w:ascii="Calibri" w:hAnsi="Calibri" w:eastAsia="Microsoft YaHei"/>
          <w:b/>
          <w:sz w:val="26"/>
        </w:rPr>
        <w:t>11.5 本章总结</w:t>
      </w:r>
    </w:p>
    <w:p>
      <w:pPr>
        <w:pStyle w:val="ListBullet"/>
      </w:pPr>
      <w:r>
        <w:rPr>
          <w:rFonts w:ascii="Calibri" w:hAnsi="Calibri" w:eastAsia="Microsoft YaHei"/>
          <w:sz w:val="22"/>
        </w:rPr>
        <w:t>建立统一的 PositionBook 管理全部持仓。</w:t>
      </w:r>
    </w:p>
    <w:p>
      <w:pPr>
        <w:pStyle w:val="ListBullet"/>
      </w:pPr>
      <w:r>
        <w:rPr>
          <w:rFonts w:ascii="Calibri" w:hAnsi="Calibri" w:eastAsia="Microsoft YaHei"/>
          <w:sz w:val="22"/>
        </w:rPr>
        <w:t>投资组合层完成损益计算与净值维护。</w:t>
      </w:r>
    </w:p>
    <w:p>
      <w:pPr>
        <w:pStyle w:val="ListBullet"/>
      </w:pPr>
      <w:r>
        <w:rPr>
          <w:rFonts w:ascii="Calibri" w:hAnsi="Calibri" w:eastAsia="Microsoft YaHei"/>
          <w:sz w:val="22"/>
        </w:rPr>
        <w:t>风险监控模块共享统一的 Greeks 数据。</w:t>
      </w:r>
    </w:p>
    <w:p>
      <w:pPr>
        <w:pStyle w:val="ListBullet"/>
      </w:pPr>
      <w:r>
        <w:rPr>
          <w:rFonts w:ascii="Calibri" w:hAnsi="Calibri" w:eastAsia="Microsoft YaHei"/>
          <w:sz w:val="22"/>
        </w:rPr>
        <w:t>Portfolio Engine 成为连接策略、风险和自动化系统的核心模块。</w:t>
      </w:r>
    </w:p>
    <w:p>
      <w:pPr>
        <w:pStyle w:val="ListBullet"/>
      </w:pPr>
      <w:r>
        <w:rPr>
          <w:rFonts w:ascii="Calibri" w:hAnsi="Calibri" w:eastAsia="Microsoft YaHei"/>
          <w:sz w:val="22"/>
        </w:rPr>
        <w:t>模块化设计提高了平台的可维护性和扩展能力。</w:t>
      </w:r>
    </w:p>
    <w:p>
      <w:r>
        <w:br w:type="page"/>
      </w:r>
    </w:p>
    <w:p>
      <w:pPr>
        <w:pStyle w:val="Heading1"/>
      </w:pPr>
      <w:r>
        <w:rPr>
          <w:rFonts w:ascii="Calibri" w:hAnsi="Calibri" w:eastAsia="Microsoft YaHei"/>
          <w:b/>
          <w:sz w:val="32"/>
        </w:rPr>
        <w:t>12. 希腊字母与风险监控</w:t>
      </w:r>
    </w:p>
    <w:p>
      <w:r>
        <w:rPr>
          <w:rFonts w:ascii="Calibri" w:hAnsi="Calibri" w:eastAsia="Microsoft YaHei"/>
          <w:b w:val="0"/>
          <w:i w:val="0"/>
          <w:sz w:val="22"/>
        </w:rPr>
        <w:t>风险监控模块负责持续汇总投资组合 Greeks，识别潜在风险来源，并根据预设规则生成风险状态和风险提示。</w:t>
      </w:r>
    </w:p>
    <w:p>
      <w:pPr>
        <w:pStyle w:val="Heading2"/>
      </w:pPr>
      <w:r>
        <w:rPr>
          <w:rFonts w:ascii="Calibri" w:hAnsi="Calibri" w:eastAsia="Microsoft YaHei"/>
          <w:b/>
          <w:sz w:val="26"/>
        </w:rPr>
        <w:t>12.1 Greeks 聚合</w:t>
      </w:r>
    </w:p>
    <w:p>
      <w:r>
        <w:rPr>
          <w:rFonts w:ascii="Calibri" w:hAnsi="Calibri" w:eastAsia="Microsoft YaHei"/>
          <w:b w:val="0"/>
          <w:i w:val="0"/>
          <w:sz w:val="22"/>
        </w:rPr>
        <w:t>系统首先对投资组合中所有持仓的 Greeks 进行逐笔计算，随后按照 Delta、Gamma、Vega 和 Theta 四项主要风险指标完成投资组合层面的风险聚合。</w:t>
      </w:r>
    </w:p>
    <w:p>
      <w:pPr>
        <w:pStyle w:val="ListBullet"/>
      </w:pPr>
      <w:r>
        <w:rPr>
          <w:rFonts w:ascii="Calibri" w:hAnsi="Calibri" w:eastAsia="Microsoft YaHei"/>
          <w:sz w:val="22"/>
        </w:rPr>
        <w:t>Delta：方向性风险。</w:t>
      </w:r>
    </w:p>
    <w:p>
      <w:pPr>
        <w:pStyle w:val="ListBullet"/>
      </w:pPr>
      <w:r>
        <w:rPr>
          <w:rFonts w:ascii="Calibri" w:hAnsi="Calibri" w:eastAsia="Microsoft YaHei"/>
          <w:sz w:val="22"/>
        </w:rPr>
        <w:t>Gamma：Delta 对价格变化的敏感度。</w:t>
      </w:r>
    </w:p>
    <w:p>
      <w:pPr>
        <w:pStyle w:val="ListBullet"/>
      </w:pPr>
      <w:r>
        <w:rPr>
          <w:rFonts w:ascii="Calibri" w:hAnsi="Calibri" w:eastAsia="Microsoft YaHei"/>
          <w:sz w:val="22"/>
        </w:rPr>
        <w:t>Vega：波动率风险。</w:t>
      </w:r>
    </w:p>
    <w:p>
      <w:pPr>
        <w:pStyle w:val="ListBullet"/>
      </w:pPr>
      <w:r>
        <w:rPr>
          <w:rFonts w:ascii="Calibri" w:hAnsi="Calibri" w:eastAsia="Microsoft YaHei"/>
          <w:sz w:val="22"/>
        </w:rPr>
        <w:t>Theta：时间价值损耗。</w:t>
      </w:r>
    </w:p>
    <w:p>
      <w:pPr>
        <w:pStyle w:val="Heading2"/>
      </w:pPr>
      <w:r>
        <w:rPr>
          <w:rFonts w:ascii="Calibri" w:hAnsi="Calibri" w:eastAsia="Microsoft YaHei"/>
          <w:b/>
          <w:sz w:val="26"/>
        </w:rPr>
        <w:t>12.2 风险状态分类</w:t>
      </w:r>
    </w:p>
    <w:p>
      <w:r>
        <w:rPr>
          <w:rFonts w:ascii="Calibri" w:hAnsi="Calibri" w:eastAsia="Microsoft YaHei"/>
          <w:b w:val="0"/>
          <w:i w:val="0"/>
          <w:sz w:val="22"/>
        </w:rPr>
        <w:t>系统根据投资组合 Greeks 与预设风险阈值，将当前组合划分为Normal、Warning 和 Critical 三类风险状态。</w:t>
      </w:r>
    </w:p>
    <w:p>
      <w:pPr>
        <w:jc w:val="center"/>
      </w:pPr>
      <w:r>
        <w:rPr>
          <w:rFonts w:ascii="Calibri" w:hAnsi="Calibri" w:eastAsia="Microsoft YaHei"/>
          <w:b/>
          <w:sz w:val="20"/>
        </w:rPr>
        <w:t>表 12.1 风险等级说明</w:t>
      </w:r>
    </w:p>
    <w:tbl>
      <w:tblPr>
        <w:tblStyle w:val="TableGrid"/>
        <w:tblW w:type="auto" w:w="0"/>
        <w:tblLook w:firstColumn="1" w:firstRow="1" w:lastColumn="0" w:lastRow="0" w:noHBand="0" w:noVBand="1" w:val="04A0"/>
      </w:tblPr>
      <w:tblGrid>
        <w:gridCol w:w="4320"/>
        <w:gridCol w:w="4320"/>
      </w:tblGrid>
      <w:tr>
        <w:tc>
          <w:tcPr>
            <w:tcW w:type="dxa" w:w="4320"/>
            <w:vAlign w:val="center"/>
          </w:tcPr>
          <w:p>
            <w:r>
              <w:rPr>
                <w:rFonts w:ascii="Calibri" w:hAnsi="Calibri" w:eastAsia="Microsoft YaHei"/>
                <w:b/>
                <w:sz w:val="18"/>
              </w:rPr>
              <w:t>风险等级</w:t>
            </w:r>
          </w:p>
        </w:tc>
        <w:tc>
          <w:tcPr>
            <w:tcW w:type="dxa" w:w="4320"/>
            <w:vAlign w:val="center"/>
          </w:tcPr>
          <w:p>
            <w:r>
              <w:rPr>
                <w:rFonts w:ascii="Calibri" w:hAnsi="Calibri" w:eastAsia="Microsoft YaHei"/>
                <w:b/>
                <w:sz w:val="18"/>
              </w:rPr>
              <w:t>说明</w:t>
            </w:r>
          </w:p>
        </w:tc>
      </w:tr>
      <w:tr>
        <w:tc>
          <w:tcPr>
            <w:tcW w:type="dxa" w:w="4320"/>
            <w:vAlign w:val="center"/>
          </w:tcPr>
          <w:p>
            <w:r>
              <w:rPr>
                <w:rFonts w:ascii="Calibri" w:hAnsi="Calibri" w:eastAsia="Microsoft YaHei"/>
                <w:b w:val="0"/>
                <w:sz w:val="18"/>
              </w:rPr>
              <w:t>Normal</w:t>
            </w:r>
          </w:p>
        </w:tc>
        <w:tc>
          <w:tcPr>
            <w:tcW w:type="dxa" w:w="4320"/>
            <w:vAlign w:val="center"/>
          </w:tcPr>
          <w:p>
            <w:r>
              <w:rPr>
                <w:rFonts w:ascii="Calibri" w:hAnsi="Calibri" w:eastAsia="Microsoft YaHei"/>
                <w:b w:val="0"/>
                <w:sz w:val="18"/>
              </w:rPr>
              <w:t>风险处于安全范围。</w:t>
            </w:r>
          </w:p>
        </w:tc>
      </w:tr>
      <w:tr>
        <w:tc>
          <w:tcPr>
            <w:tcW w:type="dxa" w:w="4320"/>
            <w:vAlign w:val="center"/>
          </w:tcPr>
          <w:p>
            <w:r>
              <w:rPr>
                <w:rFonts w:ascii="Calibri" w:hAnsi="Calibri" w:eastAsia="Microsoft YaHei"/>
                <w:b w:val="0"/>
                <w:sz w:val="18"/>
              </w:rPr>
              <w:t>Warning</w:t>
            </w:r>
          </w:p>
        </w:tc>
        <w:tc>
          <w:tcPr>
            <w:tcW w:type="dxa" w:w="4320"/>
            <w:vAlign w:val="center"/>
          </w:tcPr>
          <w:p>
            <w:r>
              <w:rPr>
                <w:rFonts w:ascii="Calibri" w:hAnsi="Calibri" w:eastAsia="Microsoft YaHei"/>
                <w:b w:val="0"/>
                <w:sz w:val="18"/>
              </w:rPr>
              <w:t>部分 Greeks 接近风险阈值。</w:t>
            </w:r>
          </w:p>
        </w:tc>
      </w:tr>
      <w:tr>
        <w:tc>
          <w:tcPr>
            <w:tcW w:type="dxa" w:w="4320"/>
            <w:vAlign w:val="center"/>
          </w:tcPr>
          <w:p>
            <w:r>
              <w:rPr>
                <w:rFonts w:ascii="Calibri" w:hAnsi="Calibri" w:eastAsia="Microsoft YaHei"/>
                <w:b w:val="0"/>
                <w:sz w:val="18"/>
              </w:rPr>
              <w:t>Critical</w:t>
            </w:r>
          </w:p>
        </w:tc>
        <w:tc>
          <w:tcPr>
            <w:tcW w:type="dxa" w:w="4320"/>
            <w:vAlign w:val="center"/>
          </w:tcPr>
          <w:p>
            <w:r>
              <w:rPr>
                <w:rFonts w:ascii="Calibri" w:hAnsi="Calibri" w:eastAsia="Microsoft YaHei"/>
                <w:b w:val="0"/>
                <w:sz w:val="18"/>
              </w:rPr>
              <w:t>风险暴露已超过建议范围，需要及时调整。</w:t>
            </w:r>
          </w:p>
        </w:tc>
      </w:tr>
    </w:tbl>
    <w:p>
      <w:pPr>
        <w:jc w:val="center"/>
      </w:pPr>
      <w:r>
        <w:rPr>
          <w:rFonts w:ascii="Calibri" w:hAnsi="Calibri" w:eastAsia="Microsoft YaHei"/>
          <w:i/>
          <w:sz w:val="18"/>
        </w:rPr>
        <w:t>系统采用三级风险分类，对投资组合当前风险状态进行统一描述。</w:t>
      </w:r>
    </w:p>
    <w:p>
      <w:pPr>
        <w:pStyle w:val="Heading2"/>
      </w:pPr>
      <w:r>
        <w:rPr>
          <w:rFonts w:ascii="Calibri" w:hAnsi="Calibri" w:eastAsia="Microsoft YaHei"/>
          <w:b/>
          <w:sz w:val="26"/>
        </w:rPr>
        <w:t>12.3 风险可视化</w:t>
      </w:r>
    </w:p>
    <w:p>
      <w:r>
        <w:rPr>
          <w:rFonts w:ascii="Calibri" w:hAnsi="Calibri" w:eastAsia="Microsoft YaHei"/>
          <w:b w:val="0"/>
          <w:i w:val="0"/>
          <w:sz w:val="22"/>
        </w:rPr>
        <w:t>风险监控模块同时生成多个图形，用于展示风险随时间变化情况。</w:t>
      </w:r>
    </w:p>
    <w:p>
      <w:pPr>
        <w:jc w:val="center"/>
      </w:pPr>
      <w:r>
        <w:rPr>
          <w:rFonts w:ascii="Calibri" w:hAnsi="Calibri" w:eastAsia="Microsoft YaHei"/>
          <w:b/>
          <w:sz w:val="20"/>
        </w:rPr>
        <w:t>图 12.1 投资组合风险状态分布</w:t>
      </w:r>
    </w:p>
    <w:p>
      <w:pPr>
        <w:jc w:val="center"/>
      </w:pPr>
      <w:r>
        <w:drawing>
          <wp:inline xmlns:a="http://schemas.openxmlformats.org/drawingml/2006/main" xmlns:pic="http://schemas.openxmlformats.org/drawingml/2006/picture">
            <wp:extent cx="5029200" cy="3352800"/>
            <wp:docPr id="10" name="Picture 10"/>
            <wp:cNvGraphicFramePr>
              <a:graphicFrameLocks noChangeAspect="1"/>
            </wp:cNvGraphicFramePr>
            <a:graphic>
              <a:graphicData uri="http://schemas.openxmlformats.org/drawingml/2006/picture">
                <pic:pic>
                  <pic:nvPicPr>
                    <pic:cNvPr id="0" name="risk_status_v3.png"/>
                    <pic:cNvPicPr/>
                  </pic:nvPicPr>
                  <pic:blipFill>
                    <a:blip r:embed="rId18"/>
                    <a:stretch>
                      <a:fillRect/>
                    </a:stretch>
                  </pic:blipFill>
                  <pic:spPr>
                    <a:xfrm>
                      <a:off x="0" y="0"/>
                      <a:ext cx="5029200" cy="3352800"/>
                    </a:xfrm>
                    <a:prstGeom prst="rect"/>
                  </pic:spPr>
                </pic:pic>
              </a:graphicData>
            </a:graphic>
          </wp:inline>
        </w:drawing>
      </w:r>
    </w:p>
    <w:p>
      <w:pPr>
        <w:jc w:val="center"/>
      </w:pPr>
      <w:r>
        <w:rPr>
          <w:rFonts w:ascii="Calibri" w:hAnsi="Calibri" w:eastAsia="Microsoft YaHei"/>
          <w:i/>
          <w:sz w:val="18"/>
        </w:rPr>
        <w:t>研究样本期内投资组合日度风险状态的分布情况。系统根据预设风险阈值，将各交易日划分为正常、预警或严重风险状态。</w:t>
      </w:r>
    </w:p>
    <w:p>
      <w:pPr>
        <w:jc w:val="center"/>
      </w:pPr>
      <w:r>
        <w:rPr>
          <w:rFonts w:ascii="Calibri" w:hAnsi="Calibri" w:eastAsia="Microsoft YaHei"/>
          <w:b/>
          <w:sz w:val="20"/>
        </w:rPr>
        <w:t>图 12.2 投资组合净 Vega 敞口</w:t>
      </w:r>
    </w:p>
    <w:p>
      <w:pPr>
        <w:jc w:val="center"/>
      </w:pPr>
      <w:r>
        <w:drawing>
          <wp:inline xmlns:a="http://schemas.openxmlformats.org/drawingml/2006/main" xmlns:pic="http://schemas.openxmlformats.org/drawingml/2006/picture">
            <wp:extent cx="5943600" cy="2971800"/>
            <wp:docPr id="11" name="Picture 11"/>
            <wp:cNvGraphicFramePr>
              <a:graphicFrameLocks noChangeAspect="1"/>
            </wp:cNvGraphicFramePr>
            <a:graphic>
              <a:graphicData uri="http://schemas.openxmlformats.org/drawingml/2006/picture">
                <pic:pic>
                  <pic:nvPicPr>
                    <pic:cNvPr id="0" name="vega_curve_v3.png"/>
                    <pic:cNvPicPr/>
                  </pic:nvPicPr>
                  <pic:blipFill>
                    <a:blip r:embed="rId19"/>
                    <a:stretch>
                      <a:fillRect/>
                    </a:stretch>
                  </pic:blipFill>
                  <pic:spPr>
                    <a:xfrm>
                      <a:off x="0" y="0"/>
                      <a:ext cx="5943600" cy="2971800"/>
                    </a:xfrm>
                    <a:prstGeom prst="rect"/>
                  </pic:spPr>
                </pic:pic>
              </a:graphicData>
            </a:graphic>
          </wp:inline>
        </w:drawing>
      </w:r>
    </w:p>
    <w:p>
      <w:pPr>
        <w:jc w:val="center"/>
      </w:pPr>
      <w:r>
        <w:rPr>
          <w:rFonts w:ascii="Calibri" w:hAnsi="Calibri" w:eastAsia="Microsoft YaHei"/>
          <w:i/>
          <w:sz w:val="18"/>
        </w:rPr>
        <w:t>投资组合净 Vega 敞口在研究样本期内的变化。正值表示组合对隐含波动率上升具有正向敏感性，负值则表示组合存在空头波动率敞口。</w:t>
      </w:r>
    </w:p>
    <w:p>
      <w:pPr>
        <w:jc w:val="center"/>
      </w:pPr>
      <w:r>
        <w:rPr>
          <w:rFonts w:ascii="Calibri" w:hAnsi="Calibri" w:eastAsia="Microsoft YaHei"/>
          <w:b/>
          <w:sz w:val="20"/>
        </w:rPr>
        <w:t>图 12.3 投资组合净 Delta 敞口</w:t>
      </w:r>
    </w:p>
    <w:p>
      <w:pPr>
        <w:jc w:val="center"/>
      </w:pPr>
      <w:r>
        <w:drawing>
          <wp:inline xmlns:a="http://schemas.openxmlformats.org/drawingml/2006/main" xmlns:pic="http://schemas.openxmlformats.org/drawingml/2006/picture">
            <wp:extent cx="5943600" cy="2971800"/>
            <wp:docPr id="12" name="Picture 12"/>
            <wp:cNvGraphicFramePr>
              <a:graphicFrameLocks noChangeAspect="1"/>
            </wp:cNvGraphicFramePr>
            <a:graphic>
              <a:graphicData uri="http://schemas.openxmlformats.org/drawingml/2006/picture">
                <pic:pic>
                  <pic:nvPicPr>
                    <pic:cNvPr id="0" name="delta_curve_v3.png"/>
                    <pic:cNvPicPr/>
                  </pic:nvPicPr>
                  <pic:blipFill>
                    <a:blip r:embed="rId20"/>
                    <a:stretch>
                      <a:fillRect/>
                    </a:stretch>
                  </pic:blipFill>
                  <pic:spPr>
                    <a:xfrm>
                      <a:off x="0" y="0"/>
                      <a:ext cx="5943600" cy="2971800"/>
                    </a:xfrm>
                    <a:prstGeom prst="rect"/>
                  </pic:spPr>
                </pic:pic>
              </a:graphicData>
            </a:graphic>
          </wp:inline>
        </w:drawing>
      </w:r>
    </w:p>
    <w:p>
      <w:pPr>
        <w:jc w:val="center"/>
      </w:pPr>
      <w:r>
        <w:rPr>
          <w:rFonts w:ascii="Calibri" w:hAnsi="Calibri" w:eastAsia="Microsoft YaHei"/>
          <w:i/>
          <w:sz w:val="18"/>
        </w:rPr>
        <w:t>投资组合净 Delta 敞口在研究样本期内的变化。该图反映组合整体方向性风险及其随时间的变化。</w:t>
      </w:r>
    </w:p>
    <w:p>
      <w:r>
        <w:rPr>
          <w:rFonts w:ascii="Calibri" w:hAnsi="Calibri" w:eastAsia="Microsoft YaHei"/>
          <w:b w:val="0"/>
          <w:i w:val="0"/>
          <w:sz w:val="22"/>
        </w:rPr>
        <w:t>上述风险图能够帮助研究人员快速识别组合风险是否持续累积，以及当前风险主要来自方向性风险还是波动率风险。</w:t>
      </w:r>
    </w:p>
    <w:p>
      <w:r>
        <w:br w:type="page"/>
      </w:r>
    </w:p>
    <w:p>
      <w:pPr>
        <w:pStyle w:val="Heading1"/>
      </w:pPr>
      <w:r>
        <w:rPr>
          <w:rFonts w:ascii="Calibri" w:hAnsi="Calibri" w:eastAsia="Microsoft YaHei"/>
          <w:b/>
          <w:sz w:val="32"/>
        </w:rPr>
        <w:t>13. 对冲建议模块</w:t>
      </w:r>
    </w:p>
    <w:p>
      <w:r>
        <w:rPr>
          <w:rFonts w:ascii="Calibri" w:hAnsi="Calibri" w:eastAsia="Microsoft YaHei"/>
          <w:b w:val="0"/>
          <w:i w:val="0"/>
          <w:sz w:val="22"/>
        </w:rPr>
        <w:t>对冲建议模块为投资组合风险管理提供决策支持。当前平台不会自动执行交易，而是根据投资组合风险敞口识别主要风险来源，并向研究人员或投资组合管理者提供相应的风险缓释建议。该设计将策略生成、投资组合管理、风险监控与对冲决策划分为相互独立的模块。</w:t>
      </w:r>
    </w:p>
    <w:p>
      <w:pPr>
        <w:pStyle w:val="Heading2"/>
      </w:pPr>
      <w:r>
        <w:rPr>
          <w:rFonts w:ascii="Calibri" w:hAnsi="Calibri" w:eastAsia="Microsoft YaHei"/>
          <w:b/>
          <w:sz w:val="26"/>
        </w:rPr>
        <w:t>13.1 设计目标</w:t>
      </w:r>
    </w:p>
    <w:p>
      <w:pPr>
        <w:pStyle w:val="ListBullet"/>
      </w:pPr>
      <w:r>
        <w:rPr>
          <w:rFonts w:ascii="Calibri" w:hAnsi="Calibri" w:eastAsia="Microsoft YaHei"/>
          <w:sz w:val="22"/>
        </w:rPr>
        <w:t>将投资组合风险敞口转化为可执行的对冲建议。</w:t>
      </w:r>
    </w:p>
    <w:p>
      <w:pPr>
        <w:pStyle w:val="ListBullet"/>
      </w:pPr>
      <w:r>
        <w:rPr>
          <w:rFonts w:ascii="Calibri" w:hAnsi="Calibri" w:eastAsia="Microsoft YaHei"/>
          <w:sz w:val="22"/>
        </w:rPr>
        <w:t>降低过度集中的方向性、波动率及时间价值风险。</w:t>
      </w:r>
    </w:p>
    <w:p>
      <w:pPr>
        <w:pStyle w:val="ListBullet"/>
      </w:pPr>
      <w:r>
        <w:rPr>
          <w:rFonts w:ascii="Calibri" w:hAnsi="Calibri" w:eastAsia="Microsoft YaHei"/>
          <w:sz w:val="22"/>
        </w:rPr>
        <w:t>建立透明且可重复的规则驱动对冲逻辑。</w:t>
      </w:r>
    </w:p>
    <w:p>
      <w:pPr>
        <w:pStyle w:val="ListBullet"/>
      </w:pPr>
      <w:r>
        <w:rPr>
          <w:rFonts w:ascii="Calibri" w:hAnsi="Calibri" w:eastAsia="Microsoft YaHei"/>
          <w:sz w:val="22"/>
        </w:rPr>
        <w:t>在不自动执行交易的前提下支持量化研究流程。</w:t>
      </w:r>
    </w:p>
    <w:p>
      <w:pPr>
        <w:pStyle w:val="ListBullet"/>
      </w:pPr>
      <w:r>
        <w:rPr>
          <w:rFonts w:ascii="Calibri" w:hAnsi="Calibri" w:eastAsia="Microsoft YaHei"/>
          <w:sz w:val="22"/>
        </w:rPr>
        <w:t>为未来基于优化模型的自动化对冲模块奠定基础。</w:t>
      </w:r>
    </w:p>
    <w:p>
      <w:pPr>
        <w:pStyle w:val="Heading2"/>
      </w:pPr>
      <w:r>
        <w:rPr>
          <w:rFonts w:ascii="Calibri" w:hAnsi="Calibri" w:eastAsia="Microsoft YaHei"/>
          <w:b/>
          <w:sz w:val="26"/>
        </w:rPr>
        <w:t>13.2 为什么采用对冲建议模式</w:t>
      </w:r>
    </w:p>
    <w:p>
      <w:r>
        <w:rPr>
          <w:rFonts w:ascii="Calibri" w:hAnsi="Calibri" w:eastAsia="Microsoft YaHei"/>
          <w:b w:val="0"/>
          <w:i w:val="0"/>
          <w:sz w:val="22"/>
        </w:rPr>
        <w:t>当前平台的主要定位是量化研究，而不是实盘交易执行。因此，对冲结果以建议形式输出，而不会直接修改投资组合持仓。研究人员需要在执行任何交易之前，对风险敞口、市场流动性和交易成本进行人工复核。</w:t>
      </w:r>
    </w:p>
    <w:p>
      <w:pPr>
        <w:jc w:val="center"/>
      </w:pPr>
      <w:r>
        <w:rPr>
          <w:rFonts w:ascii="Calibri" w:hAnsi="Calibri" w:eastAsia="Microsoft YaHei"/>
          <w:b/>
          <w:sz w:val="20"/>
        </w:rPr>
        <w:t>表 13.1 对冲建议模块当前状态</w:t>
      </w:r>
    </w:p>
    <w:tbl>
      <w:tblPr>
        <w:tblStyle w:val="TableGrid"/>
        <w:tblW w:type="auto" w:w="0"/>
        <w:tblLook w:firstColumn="1" w:firstRow="1" w:lastColumn="0" w:lastRow="0" w:noHBand="0" w:noVBand="1" w:val="04A0"/>
      </w:tblPr>
      <w:tblGrid>
        <w:gridCol w:w="4320"/>
        <w:gridCol w:w="4320"/>
      </w:tblGrid>
      <w:tr>
        <w:tc>
          <w:tcPr>
            <w:tcW w:type="dxa" w:w="4320"/>
            <w:vAlign w:val="center"/>
          </w:tcPr>
          <w:p>
            <w:r>
              <w:rPr>
                <w:rFonts w:ascii="Calibri" w:hAnsi="Calibri" w:eastAsia="Microsoft YaHei"/>
                <w:b/>
                <w:sz w:val="18"/>
              </w:rPr>
              <w:t>组成部分</w:t>
            </w:r>
          </w:p>
        </w:tc>
        <w:tc>
          <w:tcPr>
            <w:tcW w:type="dxa" w:w="4320"/>
            <w:vAlign w:val="center"/>
          </w:tcPr>
          <w:p>
            <w:r>
              <w:rPr>
                <w:rFonts w:ascii="Calibri" w:hAnsi="Calibri" w:eastAsia="Microsoft YaHei"/>
                <w:b/>
                <w:sz w:val="18"/>
              </w:rPr>
              <w:t>当前状态</w:t>
            </w:r>
          </w:p>
        </w:tc>
      </w:tr>
      <w:tr>
        <w:tc>
          <w:tcPr>
            <w:tcW w:type="dxa" w:w="4320"/>
            <w:vAlign w:val="center"/>
          </w:tcPr>
          <w:p>
            <w:r>
              <w:rPr>
                <w:rFonts w:ascii="Calibri" w:hAnsi="Calibri" w:eastAsia="Microsoft YaHei"/>
                <w:b w:val="0"/>
                <w:sz w:val="18"/>
              </w:rPr>
              <w:t>研究阶段</w:t>
            </w:r>
          </w:p>
        </w:tc>
        <w:tc>
          <w:tcPr>
            <w:tcW w:type="dxa" w:w="4320"/>
            <w:vAlign w:val="center"/>
          </w:tcPr>
          <w:p>
            <w:r>
              <w:rPr>
                <w:rFonts w:ascii="Calibri" w:hAnsi="Calibri" w:eastAsia="Microsoft YaHei"/>
                <w:b w:val="0"/>
                <w:sz w:val="18"/>
              </w:rPr>
              <w:t>规则驱动的对冲建议</w:t>
            </w:r>
          </w:p>
        </w:tc>
      </w:tr>
      <w:tr>
        <w:tc>
          <w:tcPr>
            <w:tcW w:type="dxa" w:w="4320"/>
            <w:vAlign w:val="center"/>
          </w:tcPr>
          <w:p>
            <w:r>
              <w:rPr>
                <w:rFonts w:ascii="Calibri" w:hAnsi="Calibri" w:eastAsia="Microsoft YaHei"/>
                <w:b w:val="0"/>
                <w:sz w:val="18"/>
              </w:rPr>
              <w:t>交易执行</w:t>
            </w:r>
          </w:p>
        </w:tc>
        <w:tc>
          <w:tcPr>
            <w:tcW w:type="dxa" w:w="4320"/>
            <w:vAlign w:val="center"/>
          </w:tcPr>
          <w:p>
            <w:r>
              <w:rPr>
                <w:rFonts w:ascii="Calibri" w:hAnsi="Calibri" w:eastAsia="Microsoft YaHei"/>
                <w:b w:val="0"/>
                <w:sz w:val="18"/>
              </w:rPr>
              <w:t>人工执行</w:t>
            </w:r>
          </w:p>
        </w:tc>
      </w:tr>
      <w:tr>
        <w:tc>
          <w:tcPr>
            <w:tcW w:type="dxa" w:w="4320"/>
            <w:vAlign w:val="center"/>
          </w:tcPr>
          <w:p>
            <w:r>
              <w:rPr>
                <w:rFonts w:ascii="Calibri" w:hAnsi="Calibri" w:eastAsia="Microsoft YaHei"/>
                <w:b w:val="0"/>
                <w:sz w:val="18"/>
              </w:rPr>
              <w:t>风险复核</w:t>
            </w:r>
          </w:p>
        </w:tc>
        <w:tc>
          <w:tcPr>
            <w:tcW w:type="dxa" w:w="4320"/>
            <w:vAlign w:val="center"/>
          </w:tcPr>
          <w:p>
            <w:r>
              <w:rPr>
                <w:rFonts w:ascii="Calibri" w:hAnsi="Calibri" w:eastAsia="Microsoft YaHei"/>
                <w:b w:val="0"/>
                <w:sz w:val="18"/>
              </w:rPr>
              <w:t>人工确认</w:t>
            </w:r>
          </w:p>
        </w:tc>
      </w:tr>
      <w:tr>
        <w:tc>
          <w:tcPr>
            <w:tcW w:type="dxa" w:w="4320"/>
            <w:vAlign w:val="center"/>
          </w:tcPr>
          <w:p>
            <w:r>
              <w:rPr>
                <w:rFonts w:ascii="Calibri" w:hAnsi="Calibri" w:eastAsia="Microsoft YaHei"/>
                <w:b w:val="0"/>
                <w:sz w:val="18"/>
              </w:rPr>
              <w:t>未来方向</w:t>
            </w:r>
          </w:p>
        </w:tc>
        <w:tc>
          <w:tcPr>
            <w:tcW w:type="dxa" w:w="4320"/>
            <w:vAlign w:val="center"/>
          </w:tcPr>
          <w:p>
            <w:r>
              <w:rPr>
                <w:rFonts w:ascii="Calibri" w:hAnsi="Calibri" w:eastAsia="Microsoft YaHei"/>
                <w:b w:val="0"/>
                <w:sz w:val="18"/>
              </w:rPr>
              <w:t>自动化交易执行模块</w:t>
            </w:r>
          </w:p>
        </w:tc>
      </w:tr>
    </w:tbl>
    <w:p>
      <w:pPr>
        <w:jc w:val="center"/>
      </w:pPr>
      <w:r>
        <w:rPr>
          <w:rFonts w:ascii="Calibri" w:hAnsi="Calibri" w:eastAsia="Microsoft YaHei"/>
          <w:i/>
          <w:sz w:val="18"/>
        </w:rPr>
        <w:t>当前平台将风险识别与交易执行相互分离，由系统生成建议，再由研究人员完成审核。</w:t>
      </w:r>
    </w:p>
    <w:p>
      <w:pPr>
        <w:pStyle w:val="Heading2"/>
      </w:pPr>
      <w:r>
        <w:rPr>
          <w:rFonts w:ascii="Calibri" w:hAnsi="Calibri" w:eastAsia="Microsoft YaHei"/>
          <w:b/>
          <w:sz w:val="26"/>
        </w:rPr>
        <w:t>13.3 对冲决策流程</w:t>
      </w:r>
    </w:p>
    <w:p>
      <w:r>
        <w:rPr>
          <w:rFonts w:ascii="Consolas" w:hAnsi="Consolas" w:eastAsia="Microsoft YaHei"/>
          <w:sz w:val="18"/>
        </w:rPr>
        <w:t>Portfolio Greeks</w:t>
        <w:br/>
        <w:br/>
        <w:t xml:space="preserve">      │</w:t>
        <w:br/>
        <w:t xml:space="preserve">      ▼</w:t>
        <w:br/>
        <w:br/>
        <w:t>Risk Aggregation</w:t>
        <w:br/>
        <w:br/>
        <w:t xml:space="preserve">      │</w:t>
        <w:br/>
        <w:t xml:space="preserve">      ▼</w:t>
        <w:br/>
        <w:br/>
        <w:t>Risk Classification</w:t>
        <w:br/>
        <w:br/>
        <w:t xml:space="preserve">      │</w:t>
        <w:br/>
        <w:t xml:space="preserve">      ▼</w:t>
        <w:br/>
        <w:br/>
        <w:t>Rule Engine</w:t>
        <w:br/>
        <w:br/>
        <w:t xml:space="preserve">      │</w:t>
        <w:br/>
        <w:t xml:space="preserve">      ▼</w:t>
        <w:br/>
        <w:br/>
        <w:t>Hedge Recommendation</w:t>
        <w:br/>
        <w:br/>
        <w:t xml:space="preserve">      │</w:t>
        <w:br/>
        <w:t xml:space="preserve">      ▼</w:t>
        <w:br/>
        <w:br/>
        <w:t>Human Review</w:t>
      </w:r>
    </w:p>
    <w:p>
      <w:r>
        <w:rPr>
          <w:rFonts w:ascii="Calibri" w:hAnsi="Calibri" w:eastAsia="Microsoft YaHei"/>
          <w:b w:val="0"/>
          <w:i w:val="0"/>
          <w:sz w:val="22"/>
        </w:rPr>
        <w:t>对冲建议模块接收风险监控模块输出的标准化投资组合敞口，随后依据风险状态和预设规则识别需要处理的风险，并生成对应建议。</w:t>
      </w:r>
    </w:p>
    <w:p>
      <w:pPr>
        <w:pStyle w:val="Heading2"/>
      </w:pPr>
      <w:r>
        <w:rPr>
          <w:rFonts w:ascii="Calibri" w:hAnsi="Calibri" w:eastAsia="Microsoft YaHei"/>
          <w:b/>
          <w:sz w:val="26"/>
        </w:rPr>
        <w:t>13.4 风险敞口与对冲工具映射</w:t>
      </w:r>
    </w:p>
    <w:p>
      <w:pPr>
        <w:jc w:val="center"/>
      </w:pPr>
      <w:r>
        <w:rPr>
          <w:rFonts w:ascii="Calibri" w:hAnsi="Calibri" w:eastAsia="Microsoft YaHei"/>
          <w:b/>
          <w:sz w:val="20"/>
        </w:rPr>
        <w:t>表 13.2 风险敞口与对冲建议映射</w:t>
      </w:r>
    </w:p>
    <w:tbl>
      <w:tblPr>
        <w:tblStyle w:val="TableGrid"/>
        <w:tblW w:type="auto" w:w="0"/>
        <w:tblLook w:firstColumn="1" w:firstRow="1" w:lastColumn="0" w:lastRow="0" w:noHBand="0" w:noVBand="1" w:val="04A0"/>
      </w:tblPr>
      <w:tblGrid>
        <w:gridCol w:w="2880"/>
        <w:gridCol w:w="2880"/>
        <w:gridCol w:w="2880"/>
      </w:tblGrid>
      <w:tr>
        <w:tc>
          <w:tcPr>
            <w:tcW w:type="dxa" w:w="2880"/>
            <w:vAlign w:val="center"/>
          </w:tcPr>
          <w:p>
            <w:r>
              <w:rPr>
                <w:rFonts w:ascii="Calibri" w:hAnsi="Calibri" w:eastAsia="Microsoft YaHei"/>
                <w:b/>
                <w:sz w:val="18"/>
              </w:rPr>
              <w:t>观测到的风险敞口</w:t>
            </w:r>
          </w:p>
        </w:tc>
        <w:tc>
          <w:tcPr>
            <w:tcW w:type="dxa" w:w="2880"/>
            <w:vAlign w:val="center"/>
          </w:tcPr>
          <w:p>
            <w:r>
              <w:rPr>
                <w:rFonts w:ascii="Calibri" w:hAnsi="Calibri" w:eastAsia="Microsoft YaHei"/>
                <w:b/>
                <w:sz w:val="18"/>
              </w:rPr>
              <w:t>主要风险</w:t>
            </w:r>
          </w:p>
        </w:tc>
        <w:tc>
          <w:tcPr>
            <w:tcW w:type="dxa" w:w="2880"/>
            <w:vAlign w:val="center"/>
          </w:tcPr>
          <w:p>
            <w:r>
              <w:rPr>
                <w:rFonts w:ascii="Calibri" w:hAnsi="Calibri" w:eastAsia="Microsoft YaHei"/>
                <w:b/>
                <w:sz w:val="18"/>
              </w:rPr>
              <w:t>建议对冲方式</w:t>
            </w:r>
          </w:p>
        </w:tc>
      </w:tr>
      <w:tr>
        <w:tc>
          <w:tcPr>
            <w:tcW w:type="dxa" w:w="2880"/>
            <w:vAlign w:val="center"/>
          </w:tcPr>
          <w:p>
            <w:r>
              <w:rPr>
                <w:rFonts w:ascii="Calibri" w:hAnsi="Calibri" w:eastAsia="Microsoft YaHei"/>
                <w:b w:val="0"/>
                <w:sz w:val="18"/>
              </w:rPr>
              <w:t>较大正 Delta</w:t>
            </w:r>
          </w:p>
        </w:tc>
        <w:tc>
          <w:tcPr>
            <w:tcW w:type="dxa" w:w="2880"/>
            <w:vAlign w:val="center"/>
          </w:tcPr>
          <w:p>
            <w:r>
              <w:rPr>
                <w:rFonts w:ascii="Calibri" w:hAnsi="Calibri" w:eastAsia="Microsoft YaHei"/>
                <w:b w:val="0"/>
                <w:sz w:val="18"/>
              </w:rPr>
              <w:t>方向性风险</w:t>
            </w:r>
          </w:p>
        </w:tc>
        <w:tc>
          <w:tcPr>
            <w:tcW w:type="dxa" w:w="2880"/>
            <w:vAlign w:val="center"/>
          </w:tcPr>
          <w:p>
            <w:r>
              <w:rPr>
                <w:rFonts w:ascii="Calibri" w:hAnsi="Calibri" w:eastAsia="Microsoft YaHei"/>
                <w:b w:val="0"/>
                <w:sz w:val="18"/>
              </w:rPr>
              <w:t>卖出股指期货</w:t>
            </w:r>
          </w:p>
        </w:tc>
      </w:tr>
      <w:tr>
        <w:tc>
          <w:tcPr>
            <w:tcW w:type="dxa" w:w="2880"/>
            <w:vAlign w:val="center"/>
          </w:tcPr>
          <w:p>
            <w:r>
              <w:rPr>
                <w:rFonts w:ascii="Calibri" w:hAnsi="Calibri" w:eastAsia="Microsoft YaHei"/>
                <w:b w:val="0"/>
                <w:sz w:val="18"/>
              </w:rPr>
              <w:t>较大负 Delta</w:t>
            </w:r>
          </w:p>
        </w:tc>
        <w:tc>
          <w:tcPr>
            <w:tcW w:type="dxa" w:w="2880"/>
            <w:vAlign w:val="center"/>
          </w:tcPr>
          <w:p>
            <w:r>
              <w:rPr>
                <w:rFonts w:ascii="Calibri" w:hAnsi="Calibri" w:eastAsia="Microsoft YaHei"/>
                <w:b w:val="0"/>
                <w:sz w:val="18"/>
              </w:rPr>
              <w:t>方向性风险</w:t>
            </w:r>
          </w:p>
        </w:tc>
        <w:tc>
          <w:tcPr>
            <w:tcW w:type="dxa" w:w="2880"/>
            <w:vAlign w:val="center"/>
          </w:tcPr>
          <w:p>
            <w:r>
              <w:rPr>
                <w:rFonts w:ascii="Calibri" w:hAnsi="Calibri" w:eastAsia="Microsoft YaHei"/>
                <w:b w:val="0"/>
                <w:sz w:val="18"/>
              </w:rPr>
              <w:t>买入股指期货</w:t>
            </w:r>
          </w:p>
        </w:tc>
      </w:tr>
      <w:tr>
        <w:tc>
          <w:tcPr>
            <w:tcW w:type="dxa" w:w="2880"/>
            <w:vAlign w:val="center"/>
          </w:tcPr>
          <w:p>
            <w:r>
              <w:rPr>
                <w:rFonts w:ascii="Calibri" w:hAnsi="Calibri" w:eastAsia="Microsoft YaHei"/>
                <w:b w:val="0"/>
                <w:sz w:val="18"/>
              </w:rPr>
              <w:t>较大负 Vega</w:t>
            </w:r>
          </w:p>
        </w:tc>
        <w:tc>
          <w:tcPr>
            <w:tcW w:type="dxa" w:w="2880"/>
            <w:vAlign w:val="center"/>
          </w:tcPr>
          <w:p>
            <w:r>
              <w:rPr>
                <w:rFonts w:ascii="Calibri" w:hAnsi="Calibri" w:eastAsia="Microsoft YaHei"/>
                <w:b w:val="0"/>
                <w:sz w:val="18"/>
              </w:rPr>
              <w:t>波动率风险</w:t>
            </w:r>
          </w:p>
        </w:tc>
        <w:tc>
          <w:tcPr>
            <w:tcW w:type="dxa" w:w="2880"/>
            <w:vAlign w:val="center"/>
          </w:tcPr>
          <w:p>
            <w:r>
              <w:rPr>
                <w:rFonts w:ascii="Calibri" w:hAnsi="Calibri" w:eastAsia="Microsoft YaHei"/>
                <w:b w:val="0"/>
                <w:sz w:val="18"/>
              </w:rPr>
              <w:t>增加多头波动率敞口</w:t>
            </w:r>
          </w:p>
        </w:tc>
      </w:tr>
      <w:tr>
        <w:tc>
          <w:tcPr>
            <w:tcW w:type="dxa" w:w="2880"/>
            <w:vAlign w:val="center"/>
          </w:tcPr>
          <w:p>
            <w:r>
              <w:rPr>
                <w:rFonts w:ascii="Calibri" w:hAnsi="Calibri" w:eastAsia="Microsoft YaHei"/>
                <w:b w:val="0"/>
                <w:sz w:val="18"/>
              </w:rPr>
              <w:t>较大正 Vega</w:t>
            </w:r>
          </w:p>
        </w:tc>
        <w:tc>
          <w:tcPr>
            <w:tcW w:type="dxa" w:w="2880"/>
            <w:vAlign w:val="center"/>
          </w:tcPr>
          <w:p>
            <w:r>
              <w:rPr>
                <w:rFonts w:ascii="Calibri" w:hAnsi="Calibri" w:eastAsia="Microsoft YaHei"/>
                <w:b w:val="0"/>
                <w:sz w:val="18"/>
              </w:rPr>
              <w:t>波动率风险</w:t>
            </w:r>
          </w:p>
        </w:tc>
        <w:tc>
          <w:tcPr>
            <w:tcW w:type="dxa" w:w="2880"/>
            <w:vAlign w:val="center"/>
          </w:tcPr>
          <w:p>
            <w:r>
              <w:rPr>
                <w:rFonts w:ascii="Calibri" w:hAnsi="Calibri" w:eastAsia="Microsoft YaHei"/>
                <w:b w:val="0"/>
                <w:sz w:val="18"/>
              </w:rPr>
              <w:t>降低多头波动率敞口</w:t>
            </w:r>
          </w:p>
        </w:tc>
      </w:tr>
      <w:tr>
        <w:tc>
          <w:tcPr>
            <w:tcW w:type="dxa" w:w="2880"/>
            <w:vAlign w:val="center"/>
          </w:tcPr>
          <w:p>
            <w:r>
              <w:rPr>
                <w:rFonts w:ascii="Calibri" w:hAnsi="Calibri" w:eastAsia="Microsoft YaHei"/>
                <w:b w:val="0"/>
                <w:sz w:val="18"/>
              </w:rPr>
              <w:t>较大负 Theta</w:t>
            </w:r>
          </w:p>
        </w:tc>
        <w:tc>
          <w:tcPr>
            <w:tcW w:type="dxa" w:w="2880"/>
            <w:vAlign w:val="center"/>
          </w:tcPr>
          <w:p>
            <w:r>
              <w:rPr>
                <w:rFonts w:ascii="Calibri" w:hAnsi="Calibri" w:eastAsia="Microsoft YaHei"/>
                <w:b w:val="0"/>
                <w:sz w:val="18"/>
              </w:rPr>
              <w:t>时间价值损耗</w:t>
            </w:r>
          </w:p>
        </w:tc>
        <w:tc>
          <w:tcPr>
            <w:tcW w:type="dxa" w:w="2880"/>
            <w:vAlign w:val="center"/>
          </w:tcPr>
          <w:p>
            <w:r>
              <w:rPr>
                <w:rFonts w:ascii="Calibri" w:hAnsi="Calibri" w:eastAsia="Microsoft YaHei"/>
                <w:b w:val="0"/>
                <w:sz w:val="18"/>
              </w:rPr>
              <w:t>减少权利金多头持仓</w:t>
            </w:r>
          </w:p>
        </w:tc>
      </w:tr>
      <w:tr>
        <w:tc>
          <w:tcPr>
            <w:tcW w:type="dxa" w:w="2880"/>
            <w:vAlign w:val="center"/>
          </w:tcPr>
          <w:p>
            <w:r>
              <w:rPr>
                <w:rFonts w:ascii="Calibri" w:hAnsi="Calibri" w:eastAsia="Microsoft YaHei"/>
                <w:b w:val="0"/>
                <w:sz w:val="18"/>
              </w:rPr>
              <w:t>较大 Gamma</w:t>
            </w:r>
          </w:p>
        </w:tc>
        <w:tc>
          <w:tcPr>
            <w:tcW w:type="dxa" w:w="2880"/>
            <w:vAlign w:val="center"/>
          </w:tcPr>
          <w:p>
            <w:r>
              <w:rPr>
                <w:rFonts w:ascii="Calibri" w:hAnsi="Calibri" w:eastAsia="Microsoft YaHei"/>
                <w:b w:val="0"/>
                <w:sz w:val="18"/>
              </w:rPr>
              <w:t>凸性风险</w:t>
            </w:r>
          </w:p>
        </w:tc>
        <w:tc>
          <w:tcPr>
            <w:tcW w:type="dxa" w:w="2880"/>
            <w:vAlign w:val="center"/>
          </w:tcPr>
          <w:p>
            <w:r>
              <w:rPr>
                <w:rFonts w:ascii="Calibri" w:hAnsi="Calibri" w:eastAsia="Microsoft YaHei"/>
                <w:b w:val="0"/>
                <w:sz w:val="18"/>
              </w:rPr>
              <w:t>调整期权组合结构</w:t>
            </w:r>
          </w:p>
        </w:tc>
      </w:tr>
    </w:tbl>
    <w:p>
      <w:pPr>
        <w:jc w:val="center"/>
      </w:pPr>
      <w:r>
        <w:rPr>
          <w:rFonts w:ascii="Calibri" w:hAnsi="Calibri" w:eastAsia="Microsoft YaHei"/>
          <w:i/>
          <w:sz w:val="18"/>
        </w:rPr>
        <w:t>系统根据不同 Greeks 风险敞口，将投资组合风险映射至股指期货或期权结构等潜在对冲工具。</w:t>
      </w:r>
    </w:p>
    <w:p>
      <w:pPr>
        <w:pStyle w:val="Heading2"/>
      </w:pPr>
      <w:r>
        <w:rPr>
          <w:rFonts w:ascii="Calibri" w:hAnsi="Calibri" w:eastAsia="Microsoft YaHei"/>
          <w:b/>
          <w:sz w:val="26"/>
        </w:rPr>
        <w:t>13.5 规则驱动决策模块</w:t>
      </w:r>
    </w:p>
    <w:p>
      <w:r>
        <w:rPr>
          <w:rFonts w:ascii="Calibri" w:hAnsi="Calibri" w:eastAsia="Microsoft YaHei"/>
          <w:b w:val="0"/>
          <w:i w:val="0"/>
          <w:sz w:val="22"/>
        </w:rPr>
        <w:t>当前对冲建议模块采用透明的规则驱动逻辑。系统首先判断各项 Greeks 是否达到预警或严重风险状态，再根据匹配规则生成相应的风险缓释建议。</w:t>
      </w:r>
    </w:p>
    <w:p>
      <w:r>
        <w:rPr>
          <w:rFonts w:ascii="Consolas" w:hAnsi="Consolas" w:eastAsia="Microsoft YaHei"/>
          <w:sz w:val="18"/>
        </w:rPr>
        <w:t>Portfolio Exposure</w:t>
        <w:br/>
        <w:t xml:space="preserve">      │</w:t>
        <w:br/>
        <w:t xml:space="preserve">      ▼</w:t>
        <w:br/>
        <w:t>Risk Level Check</w:t>
        <w:br/>
        <w:t xml:space="preserve">      │</w:t>
        <w:br/>
        <w:t xml:space="preserve">      ▼</w:t>
        <w:br/>
        <w:t>Rule Match</w:t>
        <w:br/>
        <w:t xml:space="preserve">      │</w:t>
        <w:br/>
        <w:t xml:space="preserve">      ▼</w:t>
        <w:br/>
        <w:t>Hedge Action</w:t>
        <w:br/>
        <w:t xml:space="preserve">      │</w:t>
        <w:br/>
        <w:t xml:space="preserve">      ▼</w:t>
        <w:br/>
        <w:t>Recommendation Output</w:t>
      </w:r>
    </w:p>
    <w:p>
      <w:pPr>
        <w:jc w:val="center"/>
      </w:pPr>
      <w:r>
        <w:rPr>
          <w:rFonts w:ascii="Calibri" w:hAnsi="Calibri" w:eastAsia="Microsoft YaHei"/>
          <w:b/>
          <w:sz w:val="20"/>
        </w:rPr>
        <w:t>表 13.3 对冲建议规则</w:t>
      </w:r>
    </w:p>
    <w:tbl>
      <w:tblPr>
        <w:tblStyle w:val="TableGrid"/>
        <w:tblW w:type="auto" w:w="0"/>
        <w:tblLook w:firstColumn="1" w:firstRow="1" w:lastColumn="0" w:lastRow="0" w:noHBand="0" w:noVBand="1" w:val="04A0"/>
      </w:tblPr>
      <w:tblGrid>
        <w:gridCol w:w="2880"/>
        <w:gridCol w:w="2880"/>
        <w:gridCol w:w="2880"/>
      </w:tblGrid>
      <w:tr>
        <w:tc>
          <w:tcPr>
            <w:tcW w:type="dxa" w:w="2880"/>
            <w:vAlign w:val="center"/>
          </w:tcPr>
          <w:p>
            <w:r>
              <w:rPr>
                <w:rFonts w:ascii="Calibri" w:hAnsi="Calibri" w:eastAsia="Microsoft YaHei"/>
                <w:b/>
                <w:sz w:val="18"/>
              </w:rPr>
              <w:t>触发条件</w:t>
            </w:r>
          </w:p>
        </w:tc>
        <w:tc>
          <w:tcPr>
            <w:tcW w:type="dxa" w:w="2880"/>
            <w:vAlign w:val="center"/>
          </w:tcPr>
          <w:p>
            <w:r>
              <w:rPr>
                <w:rFonts w:ascii="Calibri" w:hAnsi="Calibri" w:eastAsia="Microsoft YaHei"/>
                <w:b/>
                <w:sz w:val="18"/>
              </w:rPr>
              <w:t>建议措施</w:t>
            </w:r>
          </w:p>
        </w:tc>
        <w:tc>
          <w:tcPr>
            <w:tcW w:type="dxa" w:w="2880"/>
            <w:vAlign w:val="center"/>
          </w:tcPr>
          <w:p>
            <w:r>
              <w:rPr>
                <w:rFonts w:ascii="Calibri" w:hAnsi="Calibri" w:eastAsia="Microsoft YaHei"/>
                <w:b/>
                <w:sz w:val="18"/>
              </w:rPr>
              <w:t>主要原因</w:t>
            </w:r>
          </w:p>
        </w:tc>
      </w:tr>
      <w:tr>
        <w:tc>
          <w:tcPr>
            <w:tcW w:type="dxa" w:w="2880"/>
            <w:vAlign w:val="center"/>
          </w:tcPr>
          <w:p>
            <w:r>
              <w:rPr>
                <w:rFonts w:ascii="Calibri" w:hAnsi="Calibri" w:eastAsia="Microsoft YaHei"/>
                <w:b w:val="0"/>
                <w:sz w:val="18"/>
              </w:rPr>
              <w:t>Delta 正常</w:t>
            </w:r>
          </w:p>
        </w:tc>
        <w:tc>
          <w:tcPr>
            <w:tcW w:type="dxa" w:w="2880"/>
            <w:vAlign w:val="center"/>
          </w:tcPr>
          <w:p>
            <w:r>
              <w:rPr>
                <w:rFonts w:ascii="Calibri" w:hAnsi="Calibri" w:eastAsia="Microsoft YaHei"/>
                <w:b w:val="0"/>
                <w:sz w:val="18"/>
              </w:rPr>
              <w:t>无需操作</w:t>
            </w:r>
          </w:p>
        </w:tc>
        <w:tc>
          <w:tcPr>
            <w:tcW w:type="dxa" w:w="2880"/>
            <w:vAlign w:val="center"/>
          </w:tcPr>
          <w:p>
            <w:r>
              <w:rPr>
                <w:rFonts w:ascii="Calibri" w:hAnsi="Calibri" w:eastAsia="Microsoft YaHei"/>
                <w:b w:val="0"/>
                <w:sz w:val="18"/>
              </w:rPr>
              <w:t>方向性风险处于阈值范围内。</w:t>
            </w:r>
          </w:p>
        </w:tc>
      </w:tr>
      <w:tr>
        <w:tc>
          <w:tcPr>
            <w:tcW w:type="dxa" w:w="2880"/>
            <w:vAlign w:val="center"/>
          </w:tcPr>
          <w:p>
            <w:r>
              <w:rPr>
                <w:rFonts w:ascii="Calibri" w:hAnsi="Calibri" w:eastAsia="Microsoft YaHei"/>
                <w:b w:val="0"/>
                <w:sz w:val="18"/>
              </w:rPr>
              <w:t>Delta 预警或严重</w:t>
            </w:r>
          </w:p>
        </w:tc>
        <w:tc>
          <w:tcPr>
            <w:tcW w:type="dxa" w:w="2880"/>
            <w:vAlign w:val="center"/>
          </w:tcPr>
          <w:p>
            <w:r>
              <w:rPr>
                <w:rFonts w:ascii="Calibri" w:hAnsi="Calibri" w:eastAsia="Microsoft YaHei"/>
                <w:b w:val="0"/>
                <w:sz w:val="18"/>
              </w:rPr>
              <w:t>期货对冲</w:t>
            </w:r>
          </w:p>
        </w:tc>
        <w:tc>
          <w:tcPr>
            <w:tcW w:type="dxa" w:w="2880"/>
            <w:vAlign w:val="center"/>
          </w:tcPr>
          <w:p>
            <w:r>
              <w:rPr>
                <w:rFonts w:ascii="Calibri" w:hAnsi="Calibri" w:eastAsia="Microsoft YaHei"/>
                <w:b w:val="0"/>
                <w:sz w:val="18"/>
              </w:rPr>
              <w:t>使用股指期货降低方向性风险。</w:t>
            </w:r>
          </w:p>
        </w:tc>
      </w:tr>
      <w:tr>
        <w:tc>
          <w:tcPr>
            <w:tcW w:type="dxa" w:w="2880"/>
            <w:vAlign w:val="center"/>
          </w:tcPr>
          <w:p>
            <w:r>
              <w:rPr>
                <w:rFonts w:ascii="Calibri" w:hAnsi="Calibri" w:eastAsia="Microsoft YaHei"/>
                <w:b w:val="0"/>
                <w:sz w:val="18"/>
              </w:rPr>
              <w:t>Vega 预警或严重</w:t>
            </w:r>
          </w:p>
        </w:tc>
        <w:tc>
          <w:tcPr>
            <w:tcW w:type="dxa" w:w="2880"/>
            <w:vAlign w:val="center"/>
          </w:tcPr>
          <w:p>
            <w:r>
              <w:rPr>
                <w:rFonts w:ascii="Calibri" w:hAnsi="Calibri" w:eastAsia="Microsoft YaHei"/>
                <w:b w:val="0"/>
                <w:sz w:val="18"/>
              </w:rPr>
              <w:t>波动率对冲</w:t>
            </w:r>
          </w:p>
        </w:tc>
        <w:tc>
          <w:tcPr>
            <w:tcW w:type="dxa" w:w="2880"/>
            <w:vAlign w:val="center"/>
          </w:tcPr>
          <w:p>
            <w:r>
              <w:rPr>
                <w:rFonts w:ascii="Calibri" w:hAnsi="Calibri" w:eastAsia="Microsoft YaHei"/>
                <w:b w:val="0"/>
                <w:sz w:val="18"/>
              </w:rPr>
              <w:t>使用期权结构降低过度集中的波动率风险。</w:t>
            </w:r>
          </w:p>
        </w:tc>
      </w:tr>
      <w:tr>
        <w:tc>
          <w:tcPr>
            <w:tcW w:type="dxa" w:w="2880"/>
            <w:vAlign w:val="center"/>
          </w:tcPr>
          <w:p>
            <w:r>
              <w:rPr>
                <w:rFonts w:ascii="Calibri" w:hAnsi="Calibri" w:eastAsia="Microsoft YaHei"/>
                <w:b w:val="0"/>
                <w:sz w:val="18"/>
              </w:rPr>
              <w:t>Gamma 预警或严重</w:t>
            </w:r>
          </w:p>
        </w:tc>
        <w:tc>
          <w:tcPr>
            <w:tcW w:type="dxa" w:w="2880"/>
            <w:vAlign w:val="center"/>
          </w:tcPr>
          <w:p>
            <w:r>
              <w:rPr>
                <w:rFonts w:ascii="Calibri" w:hAnsi="Calibri" w:eastAsia="Microsoft YaHei"/>
                <w:b w:val="0"/>
                <w:sz w:val="18"/>
              </w:rPr>
              <w:t>调整组合结构</w:t>
            </w:r>
          </w:p>
        </w:tc>
        <w:tc>
          <w:tcPr>
            <w:tcW w:type="dxa" w:w="2880"/>
            <w:vAlign w:val="center"/>
          </w:tcPr>
          <w:p>
            <w:r>
              <w:rPr>
                <w:rFonts w:ascii="Calibri" w:hAnsi="Calibri" w:eastAsia="Microsoft YaHei"/>
                <w:b w:val="0"/>
                <w:sz w:val="18"/>
              </w:rPr>
              <w:t>降低凸性集中度或重新平衡期权结构。</w:t>
            </w:r>
          </w:p>
        </w:tc>
      </w:tr>
      <w:tr>
        <w:tc>
          <w:tcPr>
            <w:tcW w:type="dxa" w:w="2880"/>
            <w:vAlign w:val="center"/>
          </w:tcPr>
          <w:p>
            <w:r>
              <w:rPr>
                <w:rFonts w:ascii="Calibri" w:hAnsi="Calibri" w:eastAsia="Microsoft YaHei"/>
                <w:b w:val="0"/>
                <w:sz w:val="18"/>
              </w:rPr>
              <w:t>Theta 预警或严重</w:t>
            </w:r>
          </w:p>
        </w:tc>
        <w:tc>
          <w:tcPr>
            <w:tcW w:type="dxa" w:w="2880"/>
            <w:vAlign w:val="center"/>
          </w:tcPr>
          <w:p>
            <w:r>
              <w:rPr>
                <w:rFonts w:ascii="Calibri" w:hAnsi="Calibri" w:eastAsia="Microsoft YaHei"/>
                <w:b w:val="0"/>
                <w:sz w:val="18"/>
              </w:rPr>
              <w:t>降低权利金敞口</w:t>
            </w:r>
          </w:p>
        </w:tc>
        <w:tc>
          <w:tcPr>
            <w:tcW w:type="dxa" w:w="2880"/>
            <w:vAlign w:val="center"/>
          </w:tcPr>
          <w:p>
            <w:r>
              <w:rPr>
                <w:rFonts w:ascii="Calibri" w:hAnsi="Calibri" w:eastAsia="Microsoft YaHei"/>
                <w:b w:val="0"/>
                <w:sz w:val="18"/>
              </w:rPr>
              <w:t>减少时间价值损耗过高的持仓。</w:t>
            </w:r>
          </w:p>
        </w:tc>
      </w:tr>
    </w:tbl>
    <w:p>
      <w:pPr>
        <w:jc w:val="center"/>
      </w:pPr>
      <w:r>
        <w:rPr>
          <w:rFonts w:ascii="Calibri" w:hAnsi="Calibri" w:eastAsia="Microsoft YaHei"/>
          <w:i/>
          <w:sz w:val="18"/>
        </w:rPr>
        <w:t>规则模块根据风险状态生成标准化建议，以保证不同交易日的判断逻辑保持一致。</w:t>
      </w:r>
    </w:p>
    <w:p>
      <w:pPr>
        <w:pStyle w:val="Heading2"/>
      </w:pPr>
      <w:r>
        <w:rPr>
          <w:rFonts w:ascii="Calibri" w:hAnsi="Calibri" w:eastAsia="Microsoft YaHei"/>
          <w:b/>
          <w:sz w:val="26"/>
        </w:rPr>
        <w:t>13.6 对冲建议示例</w:t>
      </w:r>
    </w:p>
    <w:p>
      <w:pPr>
        <w:jc w:val="center"/>
      </w:pPr>
      <w:r>
        <w:rPr>
          <w:rFonts w:ascii="Calibri" w:hAnsi="Calibri" w:eastAsia="Microsoft YaHei"/>
          <w:b/>
          <w:sz w:val="20"/>
        </w:rPr>
        <w:t>表 13.4 对冲建议示例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vAlign w:val="center"/>
          </w:tcPr>
          <w:p>
            <w:r>
              <w:rPr>
                <w:rFonts w:ascii="Calibri" w:hAnsi="Calibri" w:eastAsia="Microsoft YaHei"/>
                <w:b/>
                <w:sz w:val="18"/>
              </w:rPr>
              <w:t>风险指标</w:t>
            </w:r>
          </w:p>
        </w:tc>
        <w:tc>
          <w:tcPr>
            <w:tcW w:type="dxa" w:w="1728"/>
            <w:vAlign w:val="center"/>
          </w:tcPr>
          <w:p>
            <w:r>
              <w:rPr>
                <w:rFonts w:ascii="Calibri" w:hAnsi="Calibri" w:eastAsia="Microsoft YaHei"/>
                <w:b/>
                <w:sz w:val="18"/>
              </w:rPr>
              <w:t>观测值</w:t>
            </w:r>
          </w:p>
        </w:tc>
        <w:tc>
          <w:tcPr>
            <w:tcW w:type="dxa" w:w="1728"/>
            <w:vAlign w:val="center"/>
          </w:tcPr>
          <w:p>
            <w:r>
              <w:rPr>
                <w:rFonts w:ascii="Calibri" w:hAnsi="Calibri" w:eastAsia="Microsoft YaHei"/>
                <w:b/>
                <w:sz w:val="18"/>
              </w:rPr>
              <w:t>风险等级</w:t>
            </w:r>
          </w:p>
        </w:tc>
        <w:tc>
          <w:tcPr>
            <w:tcW w:type="dxa" w:w="1728"/>
            <w:vAlign w:val="center"/>
          </w:tcPr>
          <w:p>
            <w:r>
              <w:rPr>
                <w:rFonts w:ascii="Calibri" w:hAnsi="Calibri" w:eastAsia="Microsoft YaHei"/>
                <w:b/>
                <w:sz w:val="18"/>
              </w:rPr>
              <w:t>建议措施</w:t>
            </w:r>
          </w:p>
        </w:tc>
        <w:tc>
          <w:tcPr>
            <w:tcW w:type="dxa" w:w="1728"/>
            <w:vAlign w:val="center"/>
          </w:tcPr>
          <w:p>
            <w:r>
              <w:rPr>
                <w:rFonts w:ascii="Calibri" w:hAnsi="Calibri" w:eastAsia="Microsoft YaHei"/>
                <w:b/>
                <w:sz w:val="18"/>
              </w:rPr>
              <w:t>解释</w:t>
            </w:r>
          </w:p>
        </w:tc>
      </w:tr>
      <w:tr>
        <w:tc>
          <w:tcPr>
            <w:tcW w:type="dxa" w:w="1728"/>
            <w:vAlign w:val="center"/>
          </w:tcPr>
          <w:p>
            <w:r>
              <w:rPr>
                <w:rFonts w:ascii="Calibri" w:hAnsi="Calibri" w:eastAsia="Microsoft YaHei"/>
                <w:b w:val="0"/>
                <w:sz w:val="18"/>
              </w:rPr>
              <w:t>净 Delta</w:t>
            </w:r>
          </w:p>
        </w:tc>
        <w:tc>
          <w:tcPr>
            <w:tcW w:type="dxa" w:w="1728"/>
            <w:vAlign w:val="center"/>
          </w:tcPr>
          <w:p>
            <w:r>
              <w:rPr>
                <w:rFonts w:ascii="Calibri" w:hAnsi="Calibri" w:eastAsia="Microsoft YaHei"/>
                <w:b w:val="0"/>
                <w:sz w:val="18"/>
              </w:rPr>
              <w:t>0.033</w:t>
            </w:r>
          </w:p>
        </w:tc>
        <w:tc>
          <w:tcPr>
            <w:tcW w:type="dxa" w:w="1728"/>
            <w:vAlign w:val="center"/>
          </w:tcPr>
          <w:p>
            <w:r>
              <w:rPr>
                <w:rFonts w:ascii="Calibri" w:hAnsi="Calibri" w:eastAsia="Microsoft YaHei"/>
                <w:b w:val="0"/>
                <w:sz w:val="18"/>
              </w:rPr>
              <w:t>正常</w:t>
            </w:r>
          </w:p>
        </w:tc>
        <w:tc>
          <w:tcPr>
            <w:tcW w:type="dxa" w:w="1728"/>
            <w:vAlign w:val="center"/>
          </w:tcPr>
          <w:p>
            <w:r>
              <w:rPr>
                <w:rFonts w:ascii="Calibri" w:hAnsi="Calibri" w:eastAsia="Microsoft YaHei"/>
                <w:b w:val="0"/>
                <w:sz w:val="18"/>
              </w:rPr>
              <w:t>无需操作</w:t>
            </w:r>
          </w:p>
        </w:tc>
        <w:tc>
          <w:tcPr>
            <w:tcW w:type="dxa" w:w="1728"/>
            <w:vAlign w:val="center"/>
          </w:tcPr>
          <w:p>
            <w:r>
              <w:rPr>
                <w:rFonts w:ascii="Calibri" w:hAnsi="Calibri" w:eastAsia="Microsoft YaHei"/>
                <w:b w:val="0"/>
                <w:sz w:val="18"/>
              </w:rPr>
              <w:t>组合方向性敞口较低。</w:t>
            </w:r>
          </w:p>
        </w:tc>
      </w:tr>
      <w:tr>
        <w:tc>
          <w:tcPr>
            <w:tcW w:type="dxa" w:w="1728"/>
            <w:vAlign w:val="center"/>
          </w:tcPr>
          <w:p>
            <w:r>
              <w:rPr>
                <w:rFonts w:ascii="Calibri" w:hAnsi="Calibri" w:eastAsia="Microsoft YaHei"/>
                <w:b w:val="0"/>
                <w:sz w:val="18"/>
              </w:rPr>
              <w:t>净 Vega</w:t>
            </w:r>
          </w:p>
        </w:tc>
        <w:tc>
          <w:tcPr>
            <w:tcW w:type="dxa" w:w="1728"/>
            <w:vAlign w:val="center"/>
          </w:tcPr>
          <w:p>
            <w:r>
              <w:rPr>
                <w:rFonts w:ascii="Calibri" w:hAnsi="Calibri" w:eastAsia="Microsoft YaHei"/>
                <w:b w:val="0"/>
                <w:sz w:val="18"/>
              </w:rPr>
              <w:t>-993.32</w:t>
            </w:r>
          </w:p>
        </w:tc>
        <w:tc>
          <w:tcPr>
            <w:tcW w:type="dxa" w:w="1728"/>
            <w:vAlign w:val="center"/>
          </w:tcPr>
          <w:p>
            <w:r>
              <w:rPr>
                <w:rFonts w:ascii="Calibri" w:hAnsi="Calibri" w:eastAsia="Microsoft YaHei"/>
                <w:b w:val="0"/>
                <w:sz w:val="18"/>
              </w:rPr>
              <w:t>预警</w:t>
            </w:r>
          </w:p>
        </w:tc>
        <w:tc>
          <w:tcPr>
            <w:tcW w:type="dxa" w:w="1728"/>
            <w:vAlign w:val="center"/>
          </w:tcPr>
          <w:p>
            <w:r>
              <w:rPr>
                <w:rFonts w:ascii="Calibri" w:hAnsi="Calibri" w:eastAsia="Microsoft YaHei"/>
                <w:b w:val="0"/>
                <w:sz w:val="18"/>
              </w:rPr>
              <w:t>监控或降低空头 Vega</w:t>
            </w:r>
          </w:p>
        </w:tc>
        <w:tc>
          <w:tcPr>
            <w:tcW w:type="dxa" w:w="1728"/>
            <w:vAlign w:val="center"/>
          </w:tcPr>
          <w:p>
            <w:r>
              <w:rPr>
                <w:rFonts w:ascii="Calibri" w:hAnsi="Calibri" w:eastAsia="Microsoft YaHei"/>
                <w:b w:val="0"/>
                <w:sz w:val="18"/>
              </w:rPr>
              <w:t>较大负 Vega 表明组合对波动率上升较为敏感。</w:t>
            </w:r>
          </w:p>
        </w:tc>
      </w:tr>
      <w:tr>
        <w:tc>
          <w:tcPr>
            <w:tcW w:type="dxa" w:w="1728"/>
            <w:vAlign w:val="center"/>
          </w:tcPr>
          <w:p>
            <w:r>
              <w:rPr>
                <w:rFonts w:ascii="Calibri" w:hAnsi="Calibri" w:eastAsia="Microsoft YaHei"/>
                <w:b w:val="0"/>
                <w:sz w:val="18"/>
              </w:rPr>
              <w:t>净 Theta</w:t>
            </w:r>
          </w:p>
        </w:tc>
        <w:tc>
          <w:tcPr>
            <w:tcW w:type="dxa" w:w="1728"/>
            <w:vAlign w:val="center"/>
          </w:tcPr>
          <w:p>
            <w:r>
              <w:rPr>
                <w:rFonts w:ascii="Calibri" w:hAnsi="Calibri" w:eastAsia="Microsoft YaHei"/>
                <w:b w:val="0"/>
                <w:sz w:val="18"/>
              </w:rPr>
              <w:t>-365.22</w:t>
            </w:r>
          </w:p>
        </w:tc>
        <w:tc>
          <w:tcPr>
            <w:tcW w:type="dxa" w:w="1728"/>
            <w:vAlign w:val="center"/>
          </w:tcPr>
          <w:p>
            <w:r>
              <w:rPr>
                <w:rFonts w:ascii="Calibri" w:hAnsi="Calibri" w:eastAsia="Microsoft YaHei"/>
                <w:b w:val="0"/>
                <w:sz w:val="18"/>
              </w:rPr>
              <w:t>预警</w:t>
            </w:r>
          </w:p>
        </w:tc>
        <w:tc>
          <w:tcPr>
            <w:tcW w:type="dxa" w:w="1728"/>
            <w:vAlign w:val="center"/>
          </w:tcPr>
          <w:p>
            <w:r>
              <w:rPr>
                <w:rFonts w:ascii="Calibri" w:hAnsi="Calibri" w:eastAsia="Microsoft YaHei"/>
                <w:b w:val="0"/>
                <w:sz w:val="18"/>
              </w:rPr>
              <w:t>监控时间价值损耗</w:t>
            </w:r>
          </w:p>
        </w:tc>
        <w:tc>
          <w:tcPr>
            <w:tcW w:type="dxa" w:w="1728"/>
            <w:vAlign w:val="center"/>
          </w:tcPr>
          <w:p>
            <w:r>
              <w:rPr>
                <w:rFonts w:ascii="Calibri" w:hAnsi="Calibri" w:eastAsia="Microsoft YaHei"/>
                <w:b w:val="0"/>
                <w:sz w:val="18"/>
              </w:rPr>
              <w:t>负 Theta 表明组合持续承受权利金衰减。</w:t>
            </w:r>
          </w:p>
        </w:tc>
      </w:tr>
      <w:tr>
        <w:tc>
          <w:tcPr>
            <w:tcW w:type="dxa" w:w="1728"/>
            <w:vAlign w:val="center"/>
          </w:tcPr>
          <w:p>
            <w:r>
              <w:rPr>
                <w:rFonts w:ascii="Calibri" w:hAnsi="Calibri" w:eastAsia="Microsoft YaHei"/>
                <w:b w:val="0"/>
                <w:sz w:val="18"/>
              </w:rPr>
              <w:t>净 Gamma</w:t>
            </w:r>
          </w:p>
        </w:tc>
        <w:tc>
          <w:tcPr>
            <w:tcW w:type="dxa" w:w="1728"/>
            <w:vAlign w:val="center"/>
          </w:tcPr>
          <w:p>
            <w:r>
              <w:rPr>
                <w:rFonts w:ascii="Calibri" w:hAnsi="Calibri" w:eastAsia="Microsoft YaHei"/>
                <w:b w:val="0"/>
                <w:sz w:val="18"/>
              </w:rPr>
              <w:t>0.0013</w:t>
            </w:r>
          </w:p>
        </w:tc>
        <w:tc>
          <w:tcPr>
            <w:tcW w:type="dxa" w:w="1728"/>
            <w:vAlign w:val="center"/>
          </w:tcPr>
          <w:p>
            <w:r>
              <w:rPr>
                <w:rFonts w:ascii="Calibri" w:hAnsi="Calibri" w:eastAsia="Microsoft YaHei"/>
                <w:b w:val="0"/>
                <w:sz w:val="18"/>
              </w:rPr>
              <w:t>正常</w:t>
            </w:r>
          </w:p>
        </w:tc>
        <w:tc>
          <w:tcPr>
            <w:tcW w:type="dxa" w:w="1728"/>
            <w:vAlign w:val="center"/>
          </w:tcPr>
          <w:p>
            <w:r>
              <w:rPr>
                <w:rFonts w:ascii="Calibri" w:hAnsi="Calibri" w:eastAsia="Microsoft YaHei"/>
                <w:b w:val="0"/>
                <w:sz w:val="18"/>
              </w:rPr>
              <w:t>无需操作</w:t>
            </w:r>
          </w:p>
        </w:tc>
        <w:tc>
          <w:tcPr>
            <w:tcW w:type="dxa" w:w="1728"/>
            <w:vAlign w:val="center"/>
          </w:tcPr>
          <w:p>
            <w:r>
              <w:rPr>
                <w:rFonts w:ascii="Calibri" w:hAnsi="Calibri" w:eastAsia="Microsoft YaHei"/>
                <w:b w:val="0"/>
                <w:sz w:val="18"/>
              </w:rPr>
              <w:t>当前凸性风险较低。</w:t>
            </w:r>
          </w:p>
        </w:tc>
      </w:tr>
    </w:tbl>
    <w:p>
      <w:pPr>
        <w:jc w:val="center"/>
      </w:pPr>
      <w:r>
        <w:rPr>
          <w:rFonts w:ascii="Calibri" w:hAnsi="Calibri" w:eastAsia="Microsoft YaHei"/>
          <w:i/>
          <w:sz w:val="18"/>
        </w:rPr>
        <w:t>该示例展示规则模块如何将投资组合 Greeks 转化为可供人工复核的风险管理建议。</w:t>
      </w:r>
    </w:p>
    <w:p>
      <w:r>
        <w:rPr>
          <w:rFonts w:ascii="Calibri" w:hAnsi="Calibri" w:eastAsia="Microsoft YaHei"/>
          <w:b w:val="0"/>
          <w:i w:val="0"/>
          <w:sz w:val="22"/>
        </w:rPr>
        <w:t>以上结果均属于决策支持信息。当前平台不会自动执行对冲交易，最终操作仍需结合市场流动性、成交价格及交易成本进行人工判断。</w:t>
      </w:r>
    </w:p>
    <w:p>
      <w:pPr>
        <w:pStyle w:val="Heading2"/>
      </w:pPr>
      <w:r>
        <w:rPr>
          <w:rFonts w:ascii="Calibri" w:hAnsi="Calibri" w:eastAsia="Microsoft YaHei"/>
          <w:b/>
          <w:sz w:val="26"/>
        </w:rPr>
        <w:t>13.7 当前局限</w:t>
      </w:r>
    </w:p>
    <w:p>
      <w:pPr>
        <w:pStyle w:val="ListBullet"/>
      </w:pPr>
      <w:r>
        <w:rPr>
          <w:rFonts w:ascii="Calibri" w:hAnsi="Calibri" w:eastAsia="Microsoft YaHei"/>
          <w:sz w:val="22"/>
        </w:rPr>
        <w:t>当前对冲建议以规则为基础，尚未使用优化模型。</w:t>
      </w:r>
    </w:p>
    <w:p>
      <w:pPr>
        <w:pStyle w:val="ListBullet"/>
      </w:pPr>
      <w:r>
        <w:rPr>
          <w:rFonts w:ascii="Calibri" w:hAnsi="Calibri" w:eastAsia="Microsoft YaHei"/>
          <w:sz w:val="22"/>
        </w:rPr>
        <w:t>对冲规模仍为近似估计，尚未结合交易成本进行系统校准。</w:t>
      </w:r>
    </w:p>
    <w:p>
      <w:pPr>
        <w:pStyle w:val="ListBullet"/>
      </w:pPr>
      <w:r>
        <w:rPr>
          <w:rFonts w:ascii="Calibri" w:hAnsi="Calibri" w:eastAsia="Microsoft YaHei"/>
          <w:sz w:val="22"/>
        </w:rPr>
        <w:t>尚未实现自动成交和执行模拟。</w:t>
      </w:r>
    </w:p>
    <w:p>
      <w:pPr>
        <w:pStyle w:val="ListBullet"/>
      </w:pPr>
      <w:r>
        <w:rPr>
          <w:rFonts w:ascii="Calibri" w:hAnsi="Calibri" w:eastAsia="Microsoft YaHei"/>
          <w:sz w:val="22"/>
        </w:rPr>
        <w:t>买卖价差、滑点及流动性限制尚未被完整纳入。</w:t>
      </w:r>
    </w:p>
    <w:p>
      <w:pPr>
        <w:pStyle w:val="ListBullet"/>
      </w:pPr>
      <w:r>
        <w:rPr>
          <w:rFonts w:ascii="Calibri" w:hAnsi="Calibri" w:eastAsia="Microsoft YaHei"/>
          <w:sz w:val="22"/>
        </w:rPr>
        <w:t>当前模块的定位是决策支持，而不是自动交易执行。</w:t>
      </w:r>
    </w:p>
    <w:p>
      <w:pPr>
        <w:pStyle w:val="Heading2"/>
      </w:pPr>
      <w:r>
        <w:rPr>
          <w:rFonts w:ascii="Calibri" w:hAnsi="Calibri" w:eastAsia="Microsoft YaHei"/>
          <w:b/>
          <w:sz w:val="26"/>
        </w:rPr>
        <w:t>13.8 未来自动化对冲模块</w:t>
      </w:r>
    </w:p>
    <w:p>
      <w:r>
        <w:rPr>
          <w:rFonts w:ascii="Consolas" w:hAnsi="Consolas" w:eastAsia="Microsoft YaHei"/>
          <w:sz w:val="18"/>
        </w:rPr>
        <w:t>Current Stage</w:t>
        <w:br/>
        <w:t>Rule-Based Recommendation</w:t>
        <w:br/>
        <w:br/>
        <w:t xml:space="preserve">      │</w:t>
        <w:br/>
        <w:t xml:space="preserve">      ▼</w:t>
        <w:br/>
        <w:br/>
        <w:t>Optimization-Based Hedge Sizing</w:t>
        <w:br/>
        <w:br/>
        <w:t xml:space="preserve">      │</w:t>
        <w:br/>
        <w:t xml:space="preserve">      ▼</w:t>
        <w:br/>
        <w:br/>
        <w:t>Transaction-Cost-Aware Selection</w:t>
        <w:br/>
        <w:br/>
        <w:t xml:space="preserve">      │</w:t>
        <w:br/>
        <w:t xml:space="preserve">      ▼</w:t>
        <w:br/>
        <w:br/>
        <w:t>Execution Simulation</w:t>
        <w:br/>
        <w:br/>
        <w:t xml:space="preserve">      │</w:t>
        <w:br/>
        <w:t xml:space="preserve">      ▼</w:t>
        <w:br/>
        <w:br/>
        <w:t>Automatic Hedge Engine</w:t>
      </w:r>
    </w:p>
    <w:p>
      <w:r>
        <w:rPr>
          <w:rFonts w:ascii="Calibri" w:hAnsi="Calibri" w:eastAsia="Microsoft YaHei"/>
          <w:b w:val="0"/>
          <w:i w:val="0"/>
          <w:sz w:val="22"/>
        </w:rPr>
        <w:t>长期目标是将当前规则驱动的建议系统升级为基于优化模型的自动化对冲模块，并同时考虑交易成本、市场流动性、对冲有效性及投资组合约束。</w:t>
      </w:r>
    </w:p>
    <w:p>
      <w:r>
        <w:br w:type="page"/>
      </w:r>
    </w:p>
    <w:p>
      <w:pPr>
        <w:pStyle w:val="Heading1"/>
      </w:pPr>
      <w:r>
        <w:rPr>
          <w:rFonts w:ascii="Calibri" w:hAnsi="Calibri" w:eastAsia="Microsoft YaHei"/>
          <w:b/>
          <w:sz w:val="32"/>
        </w:rPr>
        <w:t>14. 自动化与报告系统</w:t>
      </w:r>
    </w:p>
    <w:p>
      <w:r>
        <w:rPr>
          <w:rFonts w:ascii="Calibri" w:hAnsi="Calibri" w:eastAsia="Microsoft YaHei"/>
          <w:b w:val="0"/>
          <w:i w:val="0"/>
          <w:sz w:val="22"/>
        </w:rPr>
        <w:t>自动化框架将量化期权研究平台的主要模块整合为标准化日度流程。平台无需逐一手工运行脚本，即可依次完成数据清洗、策略生成、投资组合管理、风险监控、对冲建议及报告生成。</w:t>
      </w:r>
    </w:p>
    <w:p>
      <w:pPr>
        <w:pStyle w:val="Heading2"/>
      </w:pPr>
      <w:r>
        <w:rPr>
          <w:rFonts w:ascii="Calibri" w:hAnsi="Calibri" w:eastAsia="Microsoft YaHei"/>
          <w:b/>
          <w:sz w:val="26"/>
        </w:rPr>
        <w:t>14.1 设计目标</w:t>
      </w:r>
    </w:p>
    <w:p>
      <w:pPr>
        <w:pStyle w:val="ListBullet"/>
      </w:pPr>
      <w:r>
        <w:rPr>
          <w:rFonts w:ascii="Calibri" w:hAnsi="Calibri" w:eastAsia="Microsoft YaHei"/>
          <w:sz w:val="22"/>
        </w:rPr>
        <w:t>自动完成日度量化研究流程。</w:t>
      </w:r>
    </w:p>
    <w:p>
      <w:pPr>
        <w:pStyle w:val="ListBullet"/>
      </w:pPr>
      <w:r>
        <w:rPr>
          <w:rFonts w:ascii="Calibri" w:hAnsi="Calibri" w:eastAsia="Microsoft YaHei"/>
          <w:sz w:val="22"/>
        </w:rPr>
        <w:t>减少数据处理和报告生成中的人工干预。</w:t>
      </w:r>
    </w:p>
    <w:p>
      <w:pPr>
        <w:pStyle w:val="ListBullet"/>
      </w:pPr>
      <w:r>
        <w:rPr>
          <w:rFonts w:ascii="Calibri" w:hAnsi="Calibri" w:eastAsia="Microsoft YaHei"/>
          <w:sz w:val="22"/>
        </w:rPr>
        <w:t>生成可复现的研究输出。</w:t>
      </w:r>
    </w:p>
    <w:p>
      <w:pPr>
        <w:pStyle w:val="ListBullet"/>
      </w:pPr>
      <w:r>
        <w:rPr>
          <w:rFonts w:ascii="Calibri" w:hAnsi="Calibri" w:eastAsia="Microsoft YaHei"/>
          <w:sz w:val="22"/>
        </w:rPr>
        <w:t>支持投资组合的日度监控。</w:t>
      </w:r>
    </w:p>
    <w:p>
      <w:pPr>
        <w:pStyle w:val="ListBullet"/>
      </w:pPr>
      <w:r>
        <w:rPr>
          <w:rFonts w:ascii="Calibri" w:hAnsi="Calibri" w:eastAsia="Microsoft YaHei"/>
          <w:sz w:val="22"/>
        </w:rPr>
        <w:t>为未来定时任务和生产部署做好准备。</w:t>
      </w:r>
    </w:p>
    <w:p>
      <w:pPr>
        <w:pStyle w:val="Heading2"/>
      </w:pPr>
      <w:r>
        <w:rPr>
          <w:rFonts w:ascii="Calibri" w:hAnsi="Calibri" w:eastAsia="Microsoft YaHei"/>
          <w:b/>
          <w:sz w:val="26"/>
        </w:rPr>
        <w:t>14.2 日度流水线架构</w:t>
      </w:r>
    </w:p>
    <w:p>
      <w:r>
        <w:rPr>
          <w:rFonts w:ascii="Consolas" w:hAnsi="Consolas" w:eastAsia="Microsoft YaHei"/>
          <w:sz w:val="18"/>
        </w:rPr>
        <w:t>Market Data</w:t>
        <w:br/>
        <w:br/>
        <w:t xml:space="preserve">      │</w:t>
        <w:br/>
        <w:t xml:space="preserve">      ▼</w:t>
        <w:br/>
        <w:br/>
        <w:t>Session Cleaning</w:t>
        <w:br/>
        <w:br/>
        <w:t xml:space="preserve">      │</w:t>
        <w:br/>
        <w:t xml:space="preserve">      ▼</w:t>
        <w:br/>
        <w:br/>
        <w:t>Strategy Engine</w:t>
        <w:br/>
        <w:br/>
        <w:t xml:space="preserve">      │</w:t>
        <w:br/>
        <w:t xml:space="preserve">      ▼</w:t>
        <w:br/>
        <w:br/>
        <w:t>Portfolio Engine</w:t>
        <w:br/>
        <w:br/>
        <w:t xml:space="preserve">      │</w:t>
        <w:br/>
        <w:t xml:space="preserve">      ▼</w:t>
        <w:br/>
        <w:br/>
        <w:t>Risk Engine</w:t>
        <w:br/>
        <w:br/>
        <w:t xml:space="preserve">      │</w:t>
        <w:br/>
        <w:t xml:space="preserve">      ▼</w:t>
        <w:br/>
        <w:br/>
        <w:t>Hedge Recommendation</w:t>
        <w:br/>
        <w:br/>
        <w:t xml:space="preserve">      │</w:t>
        <w:br/>
        <w:t xml:space="preserve">      ▼</w:t>
        <w:br/>
        <w:br/>
        <w:t>Automated Reports</w:t>
      </w:r>
    </w:p>
    <w:p>
      <w:r>
        <w:rPr>
          <w:rFonts w:ascii="Calibri" w:hAnsi="Calibri" w:eastAsia="Microsoft YaHei"/>
          <w:b w:val="0"/>
          <w:i w:val="0"/>
          <w:sz w:val="22"/>
        </w:rPr>
        <w:t>各模块均生成标准化输出，并将其作为下一阶段的输入。这种模块化流水线提高了研究过程的可复现性、可维护性和扩展能力。</w:t>
      </w:r>
    </w:p>
    <w:p>
      <w:pPr>
        <w:pStyle w:val="Heading2"/>
      </w:pPr>
      <w:r>
        <w:rPr>
          <w:rFonts w:ascii="Calibri" w:hAnsi="Calibri" w:eastAsia="Microsoft YaHei"/>
          <w:b/>
          <w:sz w:val="26"/>
        </w:rPr>
        <w:t>14.3 端到端工作流程</w:t>
      </w:r>
    </w:p>
    <w:p>
      <w:pPr>
        <w:jc w:val="center"/>
      </w:pPr>
      <w:r>
        <w:rPr>
          <w:rFonts w:ascii="Calibri" w:hAnsi="Calibri" w:eastAsia="Microsoft YaHei"/>
          <w:b/>
          <w:sz w:val="20"/>
        </w:rPr>
        <w:t>表 14.1 端到端研究流程</w:t>
      </w:r>
    </w:p>
    <w:tbl>
      <w:tblPr>
        <w:tblStyle w:val="TableGrid"/>
        <w:tblW w:type="auto" w:w="0"/>
        <w:tblLook w:firstColumn="1" w:firstRow="1" w:lastColumn="0" w:lastRow="0" w:noHBand="0" w:noVBand="1" w:val="04A0"/>
      </w:tblPr>
      <w:tblGrid>
        <w:gridCol w:w="2880"/>
        <w:gridCol w:w="2880"/>
        <w:gridCol w:w="2880"/>
      </w:tblGrid>
      <w:tr>
        <w:tc>
          <w:tcPr>
            <w:tcW w:type="dxa" w:w="2880"/>
            <w:vAlign w:val="center"/>
          </w:tcPr>
          <w:p>
            <w:r>
              <w:rPr>
                <w:rFonts w:ascii="Calibri" w:hAnsi="Calibri" w:eastAsia="Microsoft YaHei"/>
                <w:b/>
                <w:sz w:val="18"/>
              </w:rPr>
              <w:t>阶段</w:t>
            </w:r>
          </w:p>
        </w:tc>
        <w:tc>
          <w:tcPr>
            <w:tcW w:type="dxa" w:w="2880"/>
            <w:vAlign w:val="center"/>
          </w:tcPr>
          <w:p>
            <w:r>
              <w:rPr>
                <w:rFonts w:ascii="Calibri" w:hAnsi="Calibri" w:eastAsia="Microsoft YaHei"/>
                <w:b/>
                <w:sz w:val="18"/>
              </w:rPr>
              <w:t>模块</w:t>
            </w:r>
          </w:p>
        </w:tc>
        <w:tc>
          <w:tcPr>
            <w:tcW w:type="dxa" w:w="2880"/>
            <w:vAlign w:val="center"/>
          </w:tcPr>
          <w:p>
            <w:r>
              <w:rPr>
                <w:rFonts w:ascii="Calibri" w:hAnsi="Calibri" w:eastAsia="Microsoft YaHei"/>
                <w:b/>
                <w:sz w:val="18"/>
              </w:rPr>
              <w:t>主要输出</w:t>
            </w:r>
          </w:p>
        </w:tc>
      </w:tr>
      <w:tr>
        <w:tc>
          <w:tcPr>
            <w:tcW w:type="dxa" w:w="2880"/>
            <w:vAlign w:val="center"/>
          </w:tcPr>
          <w:p>
            <w:r>
              <w:rPr>
                <w:rFonts w:ascii="Calibri" w:hAnsi="Calibri" w:eastAsia="Microsoft YaHei"/>
                <w:b w:val="0"/>
                <w:sz w:val="18"/>
              </w:rPr>
              <w:t>1</w:t>
            </w:r>
          </w:p>
        </w:tc>
        <w:tc>
          <w:tcPr>
            <w:tcW w:type="dxa" w:w="2880"/>
            <w:vAlign w:val="center"/>
          </w:tcPr>
          <w:p>
            <w:r>
              <w:rPr>
                <w:rFonts w:ascii="Calibri" w:hAnsi="Calibri" w:eastAsia="Microsoft YaHei"/>
                <w:b w:val="0"/>
                <w:sz w:val="18"/>
              </w:rPr>
              <w:t>市场数据</w:t>
            </w:r>
          </w:p>
        </w:tc>
        <w:tc>
          <w:tcPr>
            <w:tcW w:type="dxa" w:w="2880"/>
            <w:vAlign w:val="center"/>
          </w:tcPr>
          <w:p>
            <w:r>
              <w:rPr>
                <w:rFonts w:ascii="Calibri" w:hAnsi="Calibri" w:eastAsia="Microsoft YaHei"/>
                <w:b w:val="0"/>
                <w:sz w:val="18"/>
              </w:rPr>
              <w:t>读取期权与期货市场数据</w:t>
            </w:r>
          </w:p>
        </w:tc>
      </w:tr>
      <w:tr>
        <w:tc>
          <w:tcPr>
            <w:tcW w:type="dxa" w:w="2880"/>
            <w:vAlign w:val="center"/>
          </w:tcPr>
          <w:p>
            <w:r>
              <w:rPr>
                <w:rFonts w:ascii="Calibri" w:hAnsi="Calibri" w:eastAsia="Microsoft YaHei"/>
                <w:b w:val="0"/>
                <w:sz w:val="18"/>
              </w:rPr>
              <w:t>2</w:t>
            </w:r>
          </w:p>
        </w:tc>
        <w:tc>
          <w:tcPr>
            <w:tcW w:type="dxa" w:w="2880"/>
            <w:vAlign w:val="center"/>
          </w:tcPr>
          <w:p>
            <w:r>
              <w:rPr>
                <w:rFonts w:ascii="Calibri" w:hAnsi="Calibri" w:eastAsia="Microsoft YaHei"/>
                <w:b w:val="0"/>
                <w:sz w:val="18"/>
              </w:rPr>
              <w:t>数据清洗</w:t>
            </w:r>
          </w:p>
        </w:tc>
        <w:tc>
          <w:tcPr>
            <w:tcW w:type="dxa" w:w="2880"/>
            <w:vAlign w:val="center"/>
          </w:tcPr>
          <w:p>
            <w:r>
              <w:rPr>
                <w:rFonts w:ascii="Calibri" w:hAnsi="Calibri" w:eastAsia="Microsoft YaHei"/>
                <w:b w:val="0"/>
                <w:sz w:val="18"/>
              </w:rPr>
              <w:t>过滤集合竞价、午间休市及异常观测值</w:t>
            </w:r>
          </w:p>
        </w:tc>
      </w:tr>
      <w:tr>
        <w:tc>
          <w:tcPr>
            <w:tcW w:type="dxa" w:w="2880"/>
            <w:vAlign w:val="center"/>
          </w:tcPr>
          <w:p>
            <w:r>
              <w:rPr>
                <w:rFonts w:ascii="Calibri" w:hAnsi="Calibri" w:eastAsia="Microsoft YaHei"/>
                <w:b w:val="0"/>
                <w:sz w:val="18"/>
              </w:rPr>
              <w:t>3</w:t>
            </w:r>
          </w:p>
        </w:tc>
        <w:tc>
          <w:tcPr>
            <w:tcW w:type="dxa" w:w="2880"/>
            <w:vAlign w:val="center"/>
          </w:tcPr>
          <w:p>
            <w:r>
              <w:rPr>
                <w:rFonts w:ascii="Calibri" w:hAnsi="Calibri" w:eastAsia="Microsoft YaHei"/>
                <w:b w:val="0"/>
                <w:sz w:val="18"/>
              </w:rPr>
              <w:t>策略模块</w:t>
            </w:r>
          </w:p>
        </w:tc>
        <w:tc>
          <w:tcPr>
            <w:tcW w:type="dxa" w:w="2880"/>
            <w:vAlign w:val="center"/>
          </w:tcPr>
          <w:p>
            <w:r>
              <w:rPr>
                <w:rFonts w:ascii="Calibri" w:hAnsi="Calibri" w:eastAsia="Microsoft YaHei"/>
                <w:b w:val="0"/>
                <w:sz w:val="18"/>
              </w:rPr>
              <w:t>生成期权交易信号和策略持仓</w:t>
            </w:r>
          </w:p>
        </w:tc>
      </w:tr>
      <w:tr>
        <w:tc>
          <w:tcPr>
            <w:tcW w:type="dxa" w:w="2880"/>
            <w:vAlign w:val="center"/>
          </w:tcPr>
          <w:p>
            <w:r>
              <w:rPr>
                <w:rFonts w:ascii="Calibri" w:hAnsi="Calibri" w:eastAsia="Microsoft YaHei"/>
                <w:b w:val="0"/>
                <w:sz w:val="18"/>
              </w:rPr>
              <w:t>4</w:t>
            </w:r>
          </w:p>
        </w:tc>
        <w:tc>
          <w:tcPr>
            <w:tcW w:type="dxa" w:w="2880"/>
            <w:vAlign w:val="center"/>
          </w:tcPr>
          <w:p>
            <w:r>
              <w:rPr>
                <w:rFonts w:ascii="Calibri" w:hAnsi="Calibri" w:eastAsia="Microsoft YaHei"/>
                <w:b w:val="0"/>
                <w:sz w:val="18"/>
              </w:rPr>
              <w:t>投资组合模块</w:t>
            </w:r>
          </w:p>
        </w:tc>
        <w:tc>
          <w:tcPr>
            <w:tcW w:type="dxa" w:w="2880"/>
            <w:vAlign w:val="center"/>
          </w:tcPr>
          <w:p>
            <w:r>
              <w:rPr>
                <w:rFonts w:ascii="Calibri" w:hAnsi="Calibri" w:eastAsia="Microsoft YaHei"/>
                <w:b w:val="0"/>
                <w:sz w:val="18"/>
              </w:rPr>
              <w:t>更新 PositionBook、净值和损益</w:t>
            </w:r>
          </w:p>
        </w:tc>
      </w:tr>
      <w:tr>
        <w:tc>
          <w:tcPr>
            <w:tcW w:type="dxa" w:w="2880"/>
            <w:vAlign w:val="center"/>
          </w:tcPr>
          <w:p>
            <w:r>
              <w:rPr>
                <w:rFonts w:ascii="Calibri" w:hAnsi="Calibri" w:eastAsia="Microsoft YaHei"/>
                <w:b w:val="0"/>
                <w:sz w:val="18"/>
              </w:rPr>
              <w:t>5</w:t>
            </w:r>
          </w:p>
        </w:tc>
        <w:tc>
          <w:tcPr>
            <w:tcW w:type="dxa" w:w="2880"/>
            <w:vAlign w:val="center"/>
          </w:tcPr>
          <w:p>
            <w:r>
              <w:rPr>
                <w:rFonts w:ascii="Calibri" w:hAnsi="Calibri" w:eastAsia="Microsoft YaHei"/>
                <w:b w:val="0"/>
                <w:sz w:val="18"/>
              </w:rPr>
              <w:t>风险模块</w:t>
            </w:r>
          </w:p>
        </w:tc>
        <w:tc>
          <w:tcPr>
            <w:tcW w:type="dxa" w:w="2880"/>
            <w:vAlign w:val="center"/>
          </w:tcPr>
          <w:p>
            <w:r>
              <w:rPr>
                <w:rFonts w:ascii="Calibri" w:hAnsi="Calibri" w:eastAsia="Microsoft YaHei"/>
                <w:b w:val="0"/>
                <w:sz w:val="18"/>
              </w:rPr>
              <w:t>聚合 Greeks 并完成风险分类</w:t>
            </w:r>
          </w:p>
        </w:tc>
      </w:tr>
      <w:tr>
        <w:tc>
          <w:tcPr>
            <w:tcW w:type="dxa" w:w="2880"/>
            <w:vAlign w:val="center"/>
          </w:tcPr>
          <w:p>
            <w:r>
              <w:rPr>
                <w:rFonts w:ascii="Calibri" w:hAnsi="Calibri" w:eastAsia="Microsoft YaHei"/>
                <w:b w:val="0"/>
                <w:sz w:val="18"/>
              </w:rPr>
              <w:t>6</w:t>
            </w:r>
          </w:p>
        </w:tc>
        <w:tc>
          <w:tcPr>
            <w:tcW w:type="dxa" w:w="2880"/>
            <w:vAlign w:val="center"/>
          </w:tcPr>
          <w:p>
            <w:r>
              <w:rPr>
                <w:rFonts w:ascii="Calibri" w:hAnsi="Calibri" w:eastAsia="Microsoft YaHei"/>
                <w:b w:val="0"/>
                <w:sz w:val="18"/>
              </w:rPr>
              <w:t>对冲模块</w:t>
            </w:r>
          </w:p>
        </w:tc>
        <w:tc>
          <w:tcPr>
            <w:tcW w:type="dxa" w:w="2880"/>
            <w:vAlign w:val="center"/>
          </w:tcPr>
          <w:p>
            <w:r>
              <w:rPr>
                <w:rFonts w:ascii="Calibri" w:hAnsi="Calibri" w:eastAsia="Microsoft YaHei"/>
                <w:b w:val="0"/>
                <w:sz w:val="18"/>
              </w:rPr>
              <w:t>生成对冲建议</w:t>
            </w:r>
          </w:p>
        </w:tc>
      </w:tr>
      <w:tr>
        <w:tc>
          <w:tcPr>
            <w:tcW w:type="dxa" w:w="2880"/>
            <w:vAlign w:val="center"/>
          </w:tcPr>
          <w:p>
            <w:r>
              <w:rPr>
                <w:rFonts w:ascii="Calibri" w:hAnsi="Calibri" w:eastAsia="Microsoft YaHei"/>
                <w:b w:val="0"/>
                <w:sz w:val="18"/>
              </w:rPr>
              <w:t>7</w:t>
            </w:r>
          </w:p>
        </w:tc>
        <w:tc>
          <w:tcPr>
            <w:tcW w:type="dxa" w:w="2880"/>
            <w:vAlign w:val="center"/>
          </w:tcPr>
          <w:p>
            <w:r>
              <w:rPr>
                <w:rFonts w:ascii="Calibri" w:hAnsi="Calibri" w:eastAsia="Microsoft YaHei"/>
                <w:b w:val="0"/>
                <w:sz w:val="18"/>
              </w:rPr>
              <w:t>报告模块</w:t>
            </w:r>
          </w:p>
        </w:tc>
        <w:tc>
          <w:tcPr>
            <w:tcW w:type="dxa" w:w="2880"/>
            <w:vAlign w:val="center"/>
          </w:tcPr>
          <w:p>
            <w:r>
              <w:rPr>
                <w:rFonts w:ascii="Calibri" w:hAnsi="Calibri" w:eastAsia="Microsoft YaHei"/>
                <w:b w:val="0"/>
                <w:sz w:val="18"/>
              </w:rPr>
              <w:t>生成 Word 白皮书和研究报告</w:t>
            </w:r>
          </w:p>
        </w:tc>
      </w:tr>
    </w:tbl>
    <w:p>
      <w:pPr>
        <w:jc w:val="center"/>
      </w:pPr>
      <w:r>
        <w:rPr>
          <w:rFonts w:ascii="Calibri" w:hAnsi="Calibri" w:eastAsia="Microsoft YaHei"/>
          <w:i/>
          <w:sz w:val="18"/>
        </w:rPr>
        <w:t>日度流水线按照固定顺序执行各模块，保证研究报告来自一致且可重复的数据处理过程。</w:t>
      </w:r>
    </w:p>
    <w:p>
      <w:pPr>
        <w:pStyle w:val="Heading2"/>
      </w:pPr>
      <w:r>
        <w:rPr>
          <w:rFonts w:ascii="Calibri" w:hAnsi="Calibri" w:eastAsia="Microsoft YaHei"/>
          <w:b/>
          <w:sz w:val="26"/>
        </w:rPr>
        <w:t>14.4 自动化报告生成</w:t>
      </w:r>
    </w:p>
    <w:p>
      <w:r>
        <w:rPr>
          <w:rFonts w:ascii="Calibri" w:hAnsi="Calibri" w:eastAsia="Microsoft YaHei"/>
          <w:b w:val="0"/>
          <w:i w:val="0"/>
          <w:sz w:val="22"/>
        </w:rPr>
        <w:t>报告系统能够自动将投资组合统计数据、风险指标、策略说明、表格和图形组织为正式技术白皮书。相同的报告框架既可用于学术研究，也可支持内部管理报告和 GitHub 项目展示。</w:t>
      </w:r>
    </w:p>
    <w:p>
      <w:r>
        <w:rPr>
          <w:rFonts w:ascii="Consolas" w:hAnsi="Consolas" w:eastAsia="Microsoft YaHei"/>
          <w:sz w:val="18"/>
        </w:rPr>
        <w:t>Daily Pipeline</w:t>
        <w:br/>
        <w:br/>
        <w:t xml:space="preserve">      │</w:t>
        <w:br/>
        <w:t xml:space="preserve">      ▼</w:t>
        <w:br/>
        <w:br/>
        <w:t>CSV / Parquet</w:t>
        <w:br/>
        <w:br/>
        <w:t xml:space="preserve">      │</w:t>
        <w:br/>
        <w:t xml:space="preserve">      ▼</w:t>
        <w:br/>
        <w:br/>
        <w:t>Portfolio Statistics</w:t>
        <w:br/>
        <w:br/>
        <w:t xml:space="preserve">      │</w:t>
        <w:br/>
        <w:t xml:space="preserve">      ▼</w:t>
        <w:br/>
        <w:br/>
        <w:t>Word Builder</w:t>
        <w:br/>
        <w:br/>
        <w:t xml:space="preserve">      │</w:t>
        <w:br/>
        <w:t xml:space="preserve">      ▼</w:t>
        <w:br/>
        <w:br/>
        <w:t>Technical White Paper</w:t>
      </w:r>
    </w:p>
    <w:p>
      <w:pPr>
        <w:pStyle w:val="Heading2"/>
      </w:pPr>
      <w:r>
        <w:rPr>
          <w:rFonts w:ascii="Calibri" w:hAnsi="Calibri" w:eastAsia="Microsoft YaHei"/>
          <w:b/>
          <w:sz w:val="26"/>
        </w:rPr>
        <w:t>14.5 当前自动化功能</w:t>
      </w:r>
    </w:p>
    <w:p>
      <w:pPr>
        <w:jc w:val="center"/>
      </w:pPr>
      <w:r>
        <w:rPr>
          <w:rFonts w:ascii="Calibri" w:hAnsi="Calibri" w:eastAsia="Microsoft YaHei"/>
          <w:b/>
          <w:sz w:val="20"/>
        </w:rPr>
        <w:t>表 14.2 当前自动化功能</w:t>
      </w:r>
    </w:p>
    <w:tbl>
      <w:tblPr>
        <w:tblStyle w:val="TableGrid"/>
        <w:tblW w:type="auto" w:w="0"/>
        <w:tblLook w:firstColumn="1" w:firstRow="1" w:lastColumn="0" w:lastRow="0" w:noHBand="0" w:noVBand="1" w:val="04A0"/>
      </w:tblPr>
      <w:tblGrid>
        <w:gridCol w:w="4320"/>
        <w:gridCol w:w="4320"/>
      </w:tblGrid>
      <w:tr>
        <w:tc>
          <w:tcPr>
            <w:tcW w:type="dxa" w:w="4320"/>
            <w:vAlign w:val="center"/>
          </w:tcPr>
          <w:p>
            <w:r>
              <w:rPr>
                <w:rFonts w:ascii="Calibri" w:hAnsi="Calibri" w:eastAsia="Microsoft YaHei"/>
                <w:b/>
                <w:sz w:val="18"/>
              </w:rPr>
              <w:t>模块</w:t>
            </w:r>
          </w:p>
        </w:tc>
        <w:tc>
          <w:tcPr>
            <w:tcW w:type="dxa" w:w="4320"/>
            <w:vAlign w:val="center"/>
          </w:tcPr>
          <w:p>
            <w:r>
              <w:rPr>
                <w:rFonts w:ascii="Calibri" w:hAnsi="Calibri" w:eastAsia="Microsoft YaHei"/>
                <w:b/>
                <w:sz w:val="18"/>
              </w:rPr>
              <w:t>当前功能</w:t>
            </w:r>
          </w:p>
        </w:tc>
      </w:tr>
      <w:tr>
        <w:tc>
          <w:tcPr>
            <w:tcW w:type="dxa" w:w="4320"/>
            <w:vAlign w:val="center"/>
          </w:tcPr>
          <w:p>
            <w:r>
              <w:rPr>
                <w:rFonts w:ascii="Calibri" w:hAnsi="Calibri" w:eastAsia="Microsoft YaHei"/>
                <w:b w:val="0"/>
                <w:sz w:val="18"/>
              </w:rPr>
              <w:t>日度流水线</w:t>
            </w:r>
          </w:p>
        </w:tc>
        <w:tc>
          <w:tcPr>
            <w:tcW w:type="dxa" w:w="4320"/>
            <w:vAlign w:val="center"/>
          </w:tcPr>
          <w:p>
            <w:r>
              <w:rPr>
                <w:rFonts w:ascii="Calibri" w:hAnsi="Calibri" w:eastAsia="Microsoft YaHei"/>
                <w:b w:val="0"/>
                <w:sz w:val="18"/>
              </w:rPr>
              <w:t>自动重建清洗后的交易时段数据</w:t>
            </w:r>
          </w:p>
        </w:tc>
      </w:tr>
      <w:tr>
        <w:tc>
          <w:tcPr>
            <w:tcW w:type="dxa" w:w="4320"/>
            <w:vAlign w:val="center"/>
          </w:tcPr>
          <w:p>
            <w:r>
              <w:rPr>
                <w:rFonts w:ascii="Calibri" w:hAnsi="Calibri" w:eastAsia="Microsoft YaHei"/>
                <w:b w:val="0"/>
                <w:sz w:val="18"/>
              </w:rPr>
              <w:t>投资组合模块</w:t>
            </w:r>
          </w:p>
        </w:tc>
        <w:tc>
          <w:tcPr>
            <w:tcW w:type="dxa" w:w="4320"/>
            <w:vAlign w:val="center"/>
          </w:tcPr>
          <w:p>
            <w:r>
              <w:rPr>
                <w:rFonts w:ascii="Calibri" w:hAnsi="Calibri" w:eastAsia="Microsoft YaHei"/>
                <w:b w:val="0"/>
                <w:sz w:val="18"/>
              </w:rPr>
              <w:t>更新净值、损益和投资组合状态</w:t>
            </w:r>
          </w:p>
        </w:tc>
      </w:tr>
      <w:tr>
        <w:tc>
          <w:tcPr>
            <w:tcW w:type="dxa" w:w="4320"/>
            <w:vAlign w:val="center"/>
          </w:tcPr>
          <w:p>
            <w:r>
              <w:rPr>
                <w:rFonts w:ascii="Calibri" w:hAnsi="Calibri" w:eastAsia="Microsoft YaHei"/>
                <w:b w:val="0"/>
                <w:sz w:val="18"/>
              </w:rPr>
              <w:t>风险模块</w:t>
            </w:r>
          </w:p>
        </w:tc>
        <w:tc>
          <w:tcPr>
            <w:tcW w:type="dxa" w:w="4320"/>
            <w:vAlign w:val="center"/>
          </w:tcPr>
          <w:p>
            <w:r>
              <w:rPr>
                <w:rFonts w:ascii="Calibri" w:hAnsi="Calibri" w:eastAsia="Microsoft YaHei"/>
                <w:b w:val="0"/>
                <w:sz w:val="18"/>
              </w:rPr>
              <w:t>生成日度投资组合风险指标</w:t>
            </w:r>
          </w:p>
        </w:tc>
      </w:tr>
      <w:tr>
        <w:tc>
          <w:tcPr>
            <w:tcW w:type="dxa" w:w="4320"/>
            <w:vAlign w:val="center"/>
          </w:tcPr>
          <w:p>
            <w:r>
              <w:rPr>
                <w:rFonts w:ascii="Calibri" w:hAnsi="Calibri" w:eastAsia="Microsoft YaHei"/>
                <w:b w:val="0"/>
                <w:sz w:val="18"/>
              </w:rPr>
              <w:t>报告模块</w:t>
            </w:r>
          </w:p>
        </w:tc>
        <w:tc>
          <w:tcPr>
            <w:tcW w:type="dxa" w:w="4320"/>
            <w:vAlign w:val="center"/>
          </w:tcPr>
          <w:p>
            <w:r>
              <w:rPr>
                <w:rFonts w:ascii="Calibri" w:hAnsi="Calibri" w:eastAsia="Microsoft YaHei"/>
                <w:b w:val="0"/>
                <w:sz w:val="18"/>
              </w:rPr>
              <w:t>生成 Word 技术白皮书</w:t>
            </w:r>
          </w:p>
        </w:tc>
      </w:tr>
      <w:tr>
        <w:tc>
          <w:tcPr>
            <w:tcW w:type="dxa" w:w="4320"/>
            <w:vAlign w:val="center"/>
          </w:tcPr>
          <w:p>
            <w:r>
              <w:rPr>
                <w:rFonts w:ascii="Calibri" w:hAnsi="Calibri" w:eastAsia="Microsoft YaHei"/>
                <w:b w:val="0"/>
                <w:sz w:val="18"/>
              </w:rPr>
              <w:t>研究输出</w:t>
            </w:r>
          </w:p>
        </w:tc>
        <w:tc>
          <w:tcPr>
            <w:tcW w:type="dxa" w:w="4320"/>
            <w:vAlign w:val="center"/>
          </w:tcPr>
          <w:p>
            <w:r>
              <w:rPr>
                <w:rFonts w:ascii="Calibri" w:hAnsi="Calibri" w:eastAsia="Microsoft YaHei"/>
                <w:b w:val="0"/>
                <w:sz w:val="18"/>
              </w:rPr>
              <w:t>导出 CSV 和 Parquet 数据集</w:t>
            </w:r>
          </w:p>
        </w:tc>
      </w:tr>
    </w:tbl>
    <w:p>
      <w:pPr>
        <w:jc w:val="center"/>
      </w:pPr>
      <w:r>
        <w:rPr>
          <w:rFonts w:ascii="Calibri" w:hAnsi="Calibri" w:eastAsia="Microsoft YaHei"/>
          <w:i/>
          <w:sz w:val="18"/>
        </w:rPr>
        <w:t>自动化模块减少了重复性人工操作，并保证中间数据集和报告输出可以重新生成。</w:t>
      </w:r>
    </w:p>
    <w:p>
      <w:pPr>
        <w:pStyle w:val="Heading2"/>
      </w:pPr>
      <w:r>
        <w:rPr>
          <w:rFonts w:ascii="Calibri" w:hAnsi="Calibri" w:eastAsia="Microsoft YaHei"/>
          <w:b/>
          <w:sz w:val="26"/>
        </w:rPr>
        <w:t>14.6 可复现性</w:t>
      </w:r>
    </w:p>
    <w:p>
      <w:pPr>
        <w:pStyle w:val="ListBullet"/>
      </w:pPr>
      <w:r>
        <w:rPr>
          <w:rFonts w:ascii="Calibri" w:hAnsi="Calibri" w:eastAsia="Microsoft YaHei"/>
          <w:sz w:val="22"/>
        </w:rPr>
        <w:t>每个处理阶段均生成标准化中间结果。</w:t>
      </w:r>
    </w:p>
    <w:p>
      <w:pPr>
        <w:pStyle w:val="ListBullet"/>
      </w:pPr>
      <w:r>
        <w:rPr>
          <w:rFonts w:ascii="Calibri" w:hAnsi="Calibri" w:eastAsia="Microsoft YaHei"/>
          <w:sz w:val="22"/>
        </w:rPr>
        <w:t>投资组合指标由清洗后的数据确定性生成。</w:t>
      </w:r>
    </w:p>
    <w:p>
      <w:pPr>
        <w:pStyle w:val="ListBullet"/>
      </w:pPr>
      <w:r>
        <w:rPr>
          <w:rFonts w:ascii="Calibri" w:hAnsi="Calibri" w:eastAsia="Microsoft YaHei"/>
          <w:sz w:val="22"/>
        </w:rPr>
        <w:t>研究报告能够根据最新结果自动重建。</w:t>
      </w:r>
    </w:p>
    <w:p>
      <w:pPr>
        <w:pStyle w:val="ListBullet"/>
      </w:pPr>
      <w:r>
        <w:rPr>
          <w:rFonts w:ascii="Calibri" w:hAnsi="Calibri" w:eastAsia="Microsoft YaHei"/>
          <w:sz w:val="22"/>
        </w:rPr>
        <w:t>使用相同输入时，各模块能够重复得到一致输出。</w:t>
      </w:r>
    </w:p>
    <w:p>
      <w:pPr>
        <w:pStyle w:val="Heading2"/>
      </w:pPr>
      <w:r>
        <w:rPr>
          <w:rFonts w:ascii="Calibri" w:hAnsi="Calibri" w:eastAsia="Microsoft YaHei"/>
          <w:b/>
          <w:sz w:val="26"/>
        </w:rPr>
        <w:t>14.7 未来生产部署</w:t>
      </w:r>
    </w:p>
    <w:p>
      <w:r>
        <w:rPr>
          <w:rFonts w:ascii="Consolas" w:hAnsi="Consolas" w:eastAsia="Microsoft YaHei"/>
          <w:sz w:val="18"/>
        </w:rPr>
        <w:t>Current Research Platform</w:t>
        <w:br/>
        <w:br/>
        <w:t xml:space="preserve">      │</w:t>
        <w:br/>
        <w:t xml:space="preserve">      ▼</w:t>
        <w:br/>
        <w:br/>
        <w:t>Scheduled Daily Execution</w:t>
        <w:br/>
        <w:br/>
        <w:t xml:space="preserve">      │</w:t>
        <w:br/>
        <w:t xml:space="preserve">      ▼</w:t>
        <w:br/>
        <w:br/>
        <w:t>Cloud Deployment</w:t>
        <w:br/>
        <w:br/>
        <w:t xml:space="preserve">      │</w:t>
        <w:br/>
        <w:t xml:space="preserve">      ▼</w:t>
        <w:br/>
        <w:br/>
        <w:t>Automatic Monitoring</w:t>
        <w:br/>
        <w:br/>
        <w:t xml:space="preserve">      │</w:t>
        <w:br/>
        <w:t xml:space="preserve">      ▼</w:t>
        <w:br/>
        <w:br/>
        <w:t>Production Quant Platform</w:t>
      </w:r>
    </w:p>
    <w:p>
      <w:r>
        <w:rPr>
          <w:rFonts w:ascii="Calibri" w:hAnsi="Calibri" w:eastAsia="Microsoft YaHei"/>
          <w:b w:val="0"/>
          <w:i w:val="0"/>
          <w:sz w:val="22"/>
        </w:rPr>
        <w:t>后续工作将逐步接入任务调度、云端部署、自动监控及交易执行基础设施，使当前研究平台进一步发展为具有生产能力的量化研究系统。</w:t>
      </w:r>
    </w:p>
    <w:p>
      <w:r>
        <w:br w:type="page"/>
      </w:r>
    </w:p>
    <w:p>
      <w:pPr>
        <w:pStyle w:val="Heading1"/>
      </w:pPr>
      <w:r>
        <w:rPr>
          <w:rFonts w:ascii="Calibri" w:hAnsi="Calibri" w:eastAsia="Microsoft YaHei"/>
          <w:b/>
          <w:sz w:val="32"/>
        </w:rPr>
        <w:t>15. 投资组合表现</w:t>
      </w:r>
    </w:p>
    <w:p>
      <w:pPr>
        <w:pStyle w:val="Heading2"/>
      </w:pPr>
      <w:r>
        <w:rPr>
          <w:rFonts w:ascii="Calibri" w:hAnsi="Calibri" w:eastAsia="Microsoft YaHei"/>
          <w:b/>
          <w:sz w:val="26"/>
        </w:rPr>
        <w:t>15.1 评价目标</w:t>
      </w:r>
    </w:p>
    <w:p>
      <w:r>
        <w:rPr>
          <w:rFonts w:ascii="Calibri" w:hAnsi="Calibri" w:eastAsia="Microsoft YaHei"/>
          <w:b w:val="0"/>
          <w:i w:val="0"/>
          <w:sz w:val="22"/>
        </w:rPr>
        <w:t>本章评估当前投资组合研究平台在可用样本期内的整体表现。其目的并非宣称策略已经具备稳定盈利能力，而是检验策略、投资组合、风险、对冲及自动化模块在联合运行时的表现。</w:t>
      </w:r>
    </w:p>
    <w:p>
      <w:pPr>
        <w:pStyle w:val="ListBullet"/>
      </w:pPr>
      <w:r>
        <w:rPr>
          <w:rFonts w:ascii="Calibri" w:hAnsi="Calibri" w:eastAsia="Microsoft YaHei"/>
          <w:sz w:val="22"/>
        </w:rPr>
        <w:t>衡量完整交易日历下的投资组合净值稳定性。</w:t>
      </w:r>
    </w:p>
    <w:p>
      <w:pPr>
        <w:pStyle w:val="ListBullet"/>
      </w:pPr>
      <w:r>
        <w:rPr>
          <w:rFonts w:ascii="Calibri" w:hAnsi="Calibri" w:eastAsia="Microsoft YaHei"/>
          <w:sz w:val="22"/>
        </w:rPr>
        <w:t>评估有持仓交易日的未实现损益变化。</w:t>
      </w:r>
    </w:p>
    <w:p>
      <w:pPr>
        <w:pStyle w:val="ListBullet"/>
      </w:pPr>
      <w:r>
        <w:rPr>
          <w:rFonts w:ascii="Calibri" w:hAnsi="Calibri" w:eastAsia="Microsoft YaHei"/>
          <w:sz w:val="22"/>
        </w:rPr>
        <w:t>计算投资组合回撤和下行压力。</w:t>
      </w:r>
    </w:p>
    <w:p>
      <w:pPr>
        <w:pStyle w:val="ListBullet"/>
      </w:pPr>
      <w:r>
        <w:rPr>
          <w:rFonts w:ascii="Calibri" w:hAnsi="Calibri" w:eastAsia="Microsoft YaHei"/>
          <w:sz w:val="22"/>
        </w:rPr>
        <w:t>比较有持仓期与空仓期的分布。</w:t>
      </w:r>
    </w:p>
    <w:p>
      <w:pPr>
        <w:pStyle w:val="ListBullet"/>
      </w:pPr>
      <w:r>
        <w:rPr>
          <w:rFonts w:ascii="Calibri" w:hAnsi="Calibri" w:eastAsia="Microsoft YaHei"/>
          <w:sz w:val="22"/>
        </w:rPr>
        <w:t>对当前平台输出进行研究阶段的综合评价。</w:t>
      </w:r>
    </w:p>
    <w:p>
      <w:pPr>
        <w:pStyle w:val="Heading2"/>
      </w:pPr>
      <w:r>
        <w:rPr>
          <w:rFonts w:ascii="Calibri" w:hAnsi="Calibri" w:eastAsia="Microsoft YaHei"/>
          <w:b/>
          <w:sz w:val="26"/>
        </w:rPr>
        <w:t>15.2 绩效概览</w:t>
      </w:r>
    </w:p>
    <w:p>
      <w:pPr>
        <w:jc w:val="center"/>
      </w:pPr>
      <w:r>
        <w:rPr>
          <w:rFonts w:ascii="Calibri" w:hAnsi="Calibri" w:eastAsia="Microsoft YaHei"/>
          <w:b/>
          <w:sz w:val="20"/>
        </w:rPr>
        <w:t>表 15.1 投资组合绩效概览</w:t>
      </w:r>
    </w:p>
    <w:tbl>
      <w:tblPr>
        <w:tblStyle w:val="TableGrid"/>
        <w:tblW w:type="auto" w:w="0"/>
        <w:tblLook w:firstColumn="1" w:firstRow="1" w:lastColumn="0" w:lastRow="0" w:noHBand="0" w:noVBand="1" w:val="04A0"/>
      </w:tblPr>
      <w:tblGrid>
        <w:gridCol w:w="4320"/>
        <w:gridCol w:w="4320"/>
      </w:tblGrid>
      <w:tr>
        <w:tc>
          <w:tcPr>
            <w:tcW w:type="dxa" w:w="4320"/>
            <w:vAlign w:val="center"/>
          </w:tcPr>
          <w:p>
            <w:r>
              <w:rPr>
                <w:rFonts w:ascii="Calibri" w:hAnsi="Calibri" w:eastAsia="Microsoft YaHei"/>
                <w:b/>
                <w:sz w:val="18"/>
              </w:rPr>
              <w:t>指标</w:t>
            </w:r>
          </w:p>
        </w:tc>
        <w:tc>
          <w:tcPr>
            <w:tcW w:type="dxa" w:w="4320"/>
            <w:vAlign w:val="center"/>
          </w:tcPr>
          <w:p>
            <w:r>
              <w:rPr>
                <w:rFonts w:ascii="Calibri" w:hAnsi="Calibri" w:eastAsia="Microsoft YaHei"/>
                <w:b/>
                <w:sz w:val="18"/>
              </w:rPr>
              <w:t>数值</w:t>
            </w:r>
          </w:p>
        </w:tc>
      </w:tr>
      <w:tr>
        <w:tc>
          <w:tcPr>
            <w:tcW w:type="dxa" w:w="4320"/>
            <w:vAlign w:val="center"/>
          </w:tcPr>
          <w:p>
            <w:r>
              <w:rPr>
                <w:rFonts w:ascii="Calibri" w:hAnsi="Calibri" w:eastAsia="Microsoft YaHei"/>
                <w:b w:val="0"/>
                <w:sz w:val="18"/>
              </w:rPr>
              <w:t>最终净值</w:t>
            </w:r>
          </w:p>
        </w:tc>
        <w:tc>
          <w:tcPr>
            <w:tcW w:type="dxa" w:w="4320"/>
            <w:vAlign w:val="center"/>
          </w:tcPr>
          <w:p>
            <w:r>
              <w:rPr>
                <w:rFonts w:ascii="Calibri" w:hAnsi="Calibri" w:eastAsia="Microsoft YaHei"/>
                <w:b w:val="0"/>
                <w:sz w:val="18"/>
              </w:rPr>
              <w:t>1,000,000.00</w:t>
            </w:r>
          </w:p>
        </w:tc>
      </w:tr>
      <w:tr>
        <w:tc>
          <w:tcPr>
            <w:tcW w:type="dxa" w:w="4320"/>
            <w:vAlign w:val="center"/>
          </w:tcPr>
          <w:p>
            <w:r>
              <w:rPr>
                <w:rFonts w:ascii="Calibri" w:hAnsi="Calibri" w:eastAsia="Microsoft YaHei"/>
                <w:b w:val="0"/>
                <w:sz w:val="18"/>
              </w:rPr>
              <w:t>最高净值</w:t>
            </w:r>
          </w:p>
        </w:tc>
        <w:tc>
          <w:tcPr>
            <w:tcW w:type="dxa" w:w="4320"/>
            <w:vAlign w:val="center"/>
          </w:tcPr>
          <w:p>
            <w:r>
              <w:rPr>
                <w:rFonts w:ascii="Calibri" w:hAnsi="Calibri" w:eastAsia="Microsoft YaHei"/>
                <w:b w:val="0"/>
                <w:sz w:val="18"/>
              </w:rPr>
              <w:t>1,000,164.00</w:t>
            </w:r>
          </w:p>
        </w:tc>
      </w:tr>
      <w:tr>
        <w:tc>
          <w:tcPr>
            <w:tcW w:type="dxa" w:w="4320"/>
            <w:vAlign w:val="center"/>
          </w:tcPr>
          <w:p>
            <w:r>
              <w:rPr>
                <w:rFonts w:ascii="Calibri" w:hAnsi="Calibri" w:eastAsia="Microsoft YaHei"/>
                <w:b w:val="0"/>
                <w:sz w:val="18"/>
              </w:rPr>
              <w:t>最低净值</w:t>
            </w:r>
          </w:p>
        </w:tc>
        <w:tc>
          <w:tcPr>
            <w:tcW w:type="dxa" w:w="4320"/>
            <w:vAlign w:val="center"/>
          </w:tcPr>
          <w:p>
            <w:r>
              <w:rPr>
                <w:rFonts w:ascii="Calibri" w:hAnsi="Calibri" w:eastAsia="Microsoft YaHei"/>
                <w:b w:val="0"/>
                <w:sz w:val="18"/>
              </w:rPr>
              <w:t>998,977.00</w:t>
            </w:r>
          </w:p>
        </w:tc>
      </w:tr>
      <w:tr>
        <w:tc>
          <w:tcPr>
            <w:tcW w:type="dxa" w:w="4320"/>
            <w:vAlign w:val="center"/>
          </w:tcPr>
          <w:p>
            <w:r>
              <w:rPr>
                <w:rFonts w:ascii="Calibri" w:hAnsi="Calibri" w:eastAsia="Microsoft YaHei"/>
                <w:b w:val="0"/>
                <w:sz w:val="18"/>
              </w:rPr>
              <w:t>最大回撤</w:t>
            </w:r>
          </w:p>
        </w:tc>
        <w:tc>
          <w:tcPr>
            <w:tcW w:type="dxa" w:w="4320"/>
            <w:vAlign w:val="center"/>
          </w:tcPr>
          <w:p>
            <w:r>
              <w:rPr>
                <w:rFonts w:ascii="Calibri" w:hAnsi="Calibri" w:eastAsia="Microsoft YaHei"/>
                <w:b w:val="0"/>
                <w:sz w:val="18"/>
              </w:rPr>
              <w:t>-0.1187%</w:t>
            </w:r>
          </w:p>
        </w:tc>
      </w:tr>
      <w:tr>
        <w:tc>
          <w:tcPr>
            <w:tcW w:type="dxa" w:w="4320"/>
            <w:vAlign w:val="center"/>
          </w:tcPr>
          <w:p>
            <w:r>
              <w:rPr>
                <w:rFonts w:ascii="Calibri" w:hAnsi="Calibri" w:eastAsia="Microsoft YaHei"/>
                <w:b w:val="0"/>
                <w:sz w:val="18"/>
              </w:rPr>
              <w:t>最佳单日损益</w:t>
            </w:r>
          </w:p>
        </w:tc>
        <w:tc>
          <w:tcPr>
            <w:tcW w:type="dxa" w:w="4320"/>
            <w:vAlign w:val="center"/>
          </w:tcPr>
          <w:p>
            <w:r>
              <w:rPr>
                <w:rFonts w:ascii="Calibri" w:hAnsi="Calibri" w:eastAsia="Microsoft YaHei"/>
                <w:b w:val="0"/>
                <w:sz w:val="18"/>
              </w:rPr>
              <w:t>164.00</w:t>
            </w:r>
          </w:p>
        </w:tc>
      </w:tr>
      <w:tr>
        <w:tc>
          <w:tcPr>
            <w:tcW w:type="dxa" w:w="4320"/>
            <w:vAlign w:val="center"/>
          </w:tcPr>
          <w:p>
            <w:r>
              <w:rPr>
                <w:rFonts w:ascii="Calibri" w:hAnsi="Calibri" w:eastAsia="Microsoft YaHei"/>
                <w:b w:val="0"/>
                <w:sz w:val="18"/>
              </w:rPr>
              <w:t>最差单日损益</w:t>
            </w:r>
          </w:p>
        </w:tc>
        <w:tc>
          <w:tcPr>
            <w:tcW w:type="dxa" w:w="4320"/>
            <w:vAlign w:val="center"/>
          </w:tcPr>
          <w:p>
            <w:r>
              <w:rPr>
                <w:rFonts w:ascii="Calibri" w:hAnsi="Calibri" w:eastAsia="Microsoft YaHei"/>
                <w:b w:val="0"/>
                <w:sz w:val="18"/>
              </w:rPr>
              <w:t>-1,023.00</w:t>
            </w:r>
          </w:p>
        </w:tc>
      </w:tr>
      <w:tr>
        <w:tc>
          <w:tcPr>
            <w:tcW w:type="dxa" w:w="4320"/>
            <w:vAlign w:val="center"/>
          </w:tcPr>
          <w:p>
            <w:r>
              <w:rPr>
                <w:rFonts w:ascii="Calibri" w:hAnsi="Calibri" w:eastAsia="Microsoft YaHei"/>
                <w:b w:val="0"/>
                <w:sz w:val="18"/>
              </w:rPr>
              <w:t>持仓交易日</w:t>
            </w:r>
          </w:p>
        </w:tc>
        <w:tc>
          <w:tcPr>
            <w:tcW w:type="dxa" w:w="4320"/>
            <w:vAlign w:val="center"/>
          </w:tcPr>
          <w:p>
            <w:r>
              <w:rPr>
                <w:rFonts w:ascii="Calibri" w:hAnsi="Calibri" w:eastAsia="Microsoft YaHei"/>
                <w:b w:val="0"/>
                <w:sz w:val="18"/>
              </w:rPr>
              <w:t>15</w:t>
            </w:r>
          </w:p>
        </w:tc>
      </w:tr>
      <w:tr>
        <w:tc>
          <w:tcPr>
            <w:tcW w:type="dxa" w:w="4320"/>
            <w:vAlign w:val="center"/>
          </w:tcPr>
          <w:p>
            <w:r>
              <w:rPr>
                <w:rFonts w:ascii="Calibri" w:hAnsi="Calibri" w:eastAsia="Microsoft YaHei"/>
                <w:b w:val="0"/>
                <w:sz w:val="18"/>
              </w:rPr>
              <w:t>交易日总数</w:t>
            </w:r>
          </w:p>
        </w:tc>
        <w:tc>
          <w:tcPr>
            <w:tcW w:type="dxa" w:w="4320"/>
            <w:vAlign w:val="center"/>
          </w:tcPr>
          <w:p>
            <w:r>
              <w:rPr>
                <w:rFonts w:ascii="Calibri" w:hAnsi="Calibri" w:eastAsia="Microsoft YaHei"/>
                <w:b w:val="0"/>
                <w:sz w:val="18"/>
              </w:rPr>
              <w:t>107</w:t>
            </w:r>
          </w:p>
        </w:tc>
      </w:tr>
    </w:tbl>
    <w:p>
      <w:pPr>
        <w:jc w:val="center"/>
      </w:pPr>
      <w:r>
        <w:rPr>
          <w:rFonts w:ascii="Calibri" w:hAnsi="Calibri" w:eastAsia="Microsoft YaHei"/>
          <w:i/>
          <w:sz w:val="18"/>
        </w:rPr>
        <w:t>当前研究样本期内投资组合的主要绩效和风险统计指标。</w:t>
      </w:r>
    </w:p>
    <w:p>
      <w:pPr>
        <w:jc w:val="center"/>
      </w:pPr>
      <w:r>
        <w:rPr>
          <w:rFonts w:ascii="Calibri" w:hAnsi="Calibri" w:eastAsia="Microsoft YaHei"/>
          <w:b/>
          <w:sz w:val="20"/>
        </w:rPr>
        <w:t>表 15.2 投资组合活跃度</w:t>
      </w:r>
    </w:p>
    <w:tbl>
      <w:tblPr>
        <w:tblStyle w:val="TableGrid"/>
        <w:tblW w:type="auto" w:w="0"/>
        <w:tblLook w:firstColumn="1" w:firstRow="1" w:lastColumn="0" w:lastRow="0" w:noHBand="0" w:noVBand="1" w:val="04A0"/>
      </w:tblPr>
      <w:tblGrid>
        <w:gridCol w:w="4320"/>
        <w:gridCol w:w="4320"/>
      </w:tblGrid>
      <w:tr>
        <w:tc>
          <w:tcPr>
            <w:tcW w:type="dxa" w:w="4320"/>
            <w:vAlign w:val="center"/>
          </w:tcPr>
          <w:p>
            <w:r>
              <w:rPr>
                <w:rFonts w:ascii="Calibri" w:hAnsi="Calibri" w:eastAsia="Microsoft YaHei"/>
                <w:b/>
                <w:sz w:val="18"/>
              </w:rPr>
              <w:t>指标</w:t>
            </w:r>
          </w:p>
        </w:tc>
        <w:tc>
          <w:tcPr>
            <w:tcW w:type="dxa" w:w="4320"/>
            <w:vAlign w:val="center"/>
          </w:tcPr>
          <w:p>
            <w:r>
              <w:rPr>
                <w:rFonts w:ascii="Calibri" w:hAnsi="Calibri" w:eastAsia="Microsoft YaHei"/>
                <w:b/>
                <w:sz w:val="18"/>
              </w:rPr>
              <w:t>数值</w:t>
            </w:r>
          </w:p>
        </w:tc>
      </w:tr>
      <w:tr>
        <w:tc>
          <w:tcPr>
            <w:tcW w:type="dxa" w:w="4320"/>
            <w:vAlign w:val="center"/>
          </w:tcPr>
          <w:p>
            <w:r>
              <w:rPr>
                <w:rFonts w:ascii="Calibri" w:hAnsi="Calibri" w:eastAsia="Microsoft YaHei"/>
                <w:b w:val="0"/>
                <w:sz w:val="18"/>
              </w:rPr>
              <w:t>交易日总数</w:t>
            </w:r>
          </w:p>
        </w:tc>
        <w:tc>
          <w:tcPr>
            <w:tcW w:type="dxa" w:w="4320"/>
            <w:vAlign w:val="center"/>
          </w:tcPr>
          <w:p>
            <w:r>
              <w:rPr>
                <w:rFonts w:ascii="Calibri" w:hAnsi="Calibri" w:eastAsia="Microsoft YaHei"/>
                <w:b w:val="0"/>
                <w:sz w:val="18"/>
              </w:rPr>
              <w:t>107</w:t>
            </w:r>
          </w:p>
        </w:tc>
      </w:tr>
      <w:tr>
        <w:tc>
          <w:tcPr>
            <w:tcW w:type="dxa" w:w="4320"/>
            <w:vAlign w:val="center"/>
          </w:tcPr>
          <w:p>
            <w:r>
              <w:rPr>
                <w:rFonts w:ascii="Calibri" w:hAnsi="Calibri" w:eastAsia="Microsoft YaHei"/>
                <w:b w:val="0"/>
                <w:sz w:val="18"/>
              </w:rPr>
              <w:t>有持仓交易日</w:t>
            </w:r>
          </w:p>
        </w:tc>
        <w:tc>
          <w:tcPr>
            <w:tcW w:type="dxa" w:w="4320"/>
            <w:vAlign w:val="center"/>
          </w:tcPr>
          <w:p>
            <w:r>
              <w:rPr>
                <w:rFonts w:ascii="Calibri" w:hAnsi="Calibri" w:eastAsia="Microsoft YaHei"/>
                <w:b w:val="0"/>
                <w:sz w:val="18"/>
              </w:rPr>
              <w:t>15</w:t>
            </w:r>
          </w:p>
        </w:tc>
      </w:tr>
      <w:tr>
        <w:tc>
          <w:tcPr>
            <w:tcW w:type="dxa" w:w="4320"/>
            <w:vAlign w:val="center"/>
          </w:tcPr>
          <w:p>
            <w:r>
              <w:rPr>
                <w:rFonts w:ascii="Calibri" w:hAnsi="Calibri" w:eastAsia="Microsoft YaHei"/>
                <w:b w:val="0"/>
                <w:sz w:val="18"/>
              </w:rPr>
              <w:t>空仓交易日</w:t>
            </w:r>
          </w:p>
        </w:tc>
        <w:tc>
          <w:tcPr>
            <w:tcW w:type="dxa" w:w="4320"/>
            <w:vAlign w:val="center"/>
          </w:tcPr>
          <w:p>
            <w:r>
              <w:rPr>
                <w:rFonts w:ascii="Calibri" w:hAnsi="Calibri" w:eastAsia="Microsoft YaHei"/>
                <w:b w:val="0"/>
                <w:sz w:val="18"/>
              </w:rPr>
              <w:t>92</w:t>
            </w:r>
          </w:p>
        </w:tc>
      </w:tr>
      <w:tr>
        <w:tc>
          <w:tcPr>
            <w:tcW w:type="dxa" w:w="4320"/>
            <w:vAlign w:val="center"/>
          </w:tcPr>
          <w:p>
            <w:r>
              <w:rPr>
                <w:rFonts w:ascii="Calibri" w:hAnsi="Calibri" w:eastAsia="Microsoft YaHei"/>
                <w:b w:val="0"/>
                <w:sz w:val="18"/>
              </w:rPr>
              <w:t>持仓活跃比例</w:t>
            </w:r>
          </w:p>
        </w:tc>
        <w:tc>
          <w:tcPr>
            <w:tcW w:type="dxa" w:w="4320"/>
            <w:vAlign w:val="center"/>
          </w:tcPr>
          <w:p>
            <w:r>
              <w:rPr>
                <w:rFonts w:ascii="Calibri" w:hAnsi="Calibri" w:eastAsia="Microsoft YaHei"/>
                <w:b w:val="0"/>
                <w:sz w:val="18"/>
              </w:rPr>
              <w:t>14.02%</w:t>
            </w:r>
          </w:p>
        </w:tc>
      </w:tr>
      <w:tr>
        <w:tc>
          <w:tcPr>
            <w:tcW w:type="dxa" w:w="4320"/>
            <w:vAlign w:val="center"/>
          </w:tcPr>
          <w:p>
            <w:r>
              <w:rPr>
                <w:rFonts w:ascii="Calibri" w:hAnsi="Calibri" w:eastAsia="Microsoft YaHei"/>
                <w:b w:val="0"/>
                <w:sz w:val="18"/>
              </w:rPr>
              <w:t>评价状态</w:t>
            </w:r>
          </w:p>
        </w:tc>
        <w:tc>
          <w:tcPr>
            <w:tcW w:type="dxa" w:w="4320"/>
            <w:vAlign w:val="center"/>
          </w:tcPr>
          <w:p>
            <w:r>
              <w:rPr>
                <w:rFonts w:ascii="Calibri" w:hAnsi="Calibri" w:eastAsia="Microsoft YaHei"/>
                <w:b w:val="0"/>
                <w:sz w:val="18"/>
              </w:rPr>
              <w:t>研究阶段平台评价</w:t>
            </w:r>
          </w:p>
        </w:tc>
      </w:tr>
    </w:tbl>
    <w:p>
      <w:pPr>
        <w:jc w:val="center"/>
      </w:pPr>
      <w:r>
        <w:rPr>
          <w:rFonts w:ascii="Calibri" w:hAnsi="Calibri" w:eastAsia="Microsoft YaHei"/>
          <w:i/>
          <w:sz w:val="18"/>
        </w:rPr>
        <w:t>平台处理完整交易日历，但仅在信号触发时建立持仓，符合信号驱动型期权研究框架的特征。</w:t>
      </w:r>
    </w:p>
    <w:p>
      <w:pPr>
        <w:pStyle w:val="Heading2"/>
      </w:pPr>
      <w:r>
        <w:rPr>
          <w:rFonts w:ascii="Calibri" w:hAnsi="Calibri" w:eastAsia="Microsoft YaHei"/>
          <w:b/>
          <w:sz w:val="26"/>
        </w:rPr>
        <w:t>15.3 净值分析</w:t>
      </w:r>
    </w:p>
    <w:p>
      <w:r>
        <w:rPr>
          <w:rFonts w:ascii="Calibri" w:hAnsi="Calibri" w:eastAsia="Microsoft YaHei"/>
          <w:b w:val="0"/>
          <w:i w:val="0"/>
          <w:sz w:val="22"/>
        </w:rPr>
        <w:t>投资组合净值反映未平仓头寸按市场价格计量后的账户价值。当前样本中，大部分交易日的净值接近初始资金，主要原因是有持仓交易日数量有限，并且研究阶段采用了相对保守的持仓规模。</w:t>
      </w:r>
    </w:p>
    <w:p>
      <w:pPr>
        <w:jc w:val="center"/>
      </w:pPr>
      <w:r>
        <w:rPr>
          <w:rFonts w:ascii="Calibri" w:hAnsi="Calibri" w:eastAsia="Microsoft YaHei"/>
          <w:b/>
          <w:sz w:val="20"/>
        </w:rPr>
        <w:t>图 15.1 投资组合净值曲线</w:t>
      </w:r>
    </w:p>
    <w:p>
      <w:pPr>
        <w:jc w:val="center"/>
      </w:pPr>
      <w:r>
        <w:drawing>
          <wp:inline xmlns:a="http://schemas.openxmlformats.org/drawingml/2006/main" xmlns:pic="http://schemas.openxmlformats.org/drawingml/2006/picture">
            <wp:extent cx="5943600" cy="2971800"/>
            <wp:docPr id="13" name="Picture 13"/>
            <wp:cNvGraphicFramePr>
              <a:graphicFrameLocks noChangeAspect="1"/>
            </wp:cNvGraphicFramePr>
            <a:graphic>
              <a:graphicData uri="http://schemas.openxmlformats.org/drawingml/2006/picture">
                <pic:pic>
                  <pic:nvPicPr>
                    <pic:cNvPr id="0" name="nav_curve_v3.png"/>
                    <pic:cNvPicPr/>
                  </pic:nvPicPr>
                  <pic:blipFill>
                    <a:blip r:embed="rId21"/>
                    <a:stretch>
                      <a:fillRect/>
                    </a:stretch>
                  </pic:blipFill>
                  <pic:spPr>
                    <a:xfrm>
                      <a:off x="0" y="0"/>
                      <a:ext cx="5943600" cy="2971800"/>
                    </a:xfrm>
                    <a:prstGeom prst="rect"/>
                  </pic:spPr>
                </pic:pic>
              </a:graphicData>
            </a:graphic>
          </wp:inline>
        </w:drawing>
      </w:r>
    </w:p>
    <w:p>
      <w:pPr>
        <w:jc w:val="center"/>
      </w:pPr>
      <w:r>
        <w:rPr>
          <w:rFonts w:ascii="Calibri" w:hAnsi="Calibri" w:eastAsia="Microsoft YaHei"/>
          <w:i/>
          <w:sz w:val="18"/>
        </w:rPr>
        <w:t>研究样本期内的日度投资组合净值。大部分交易日净值接近初始资金，反映当前策略触发频率和持仓规模均较为有限。</w:t>
      </w:r>
    </w:p>
    <w:p>
      <w:pPr>
        <w:pStyle w:val="Heading2"/>
      </w:pPr>
      <w:r>
        <w:rPr>
          <w:rFonts w:ascii="Calibri" w:hAnsi="Calibri" w:eastAsia="Microsoft YaHei"/>
          <w:b/>
          <w:sz w:val="26"/>
        </w:rPr>
        <w:t>15.4 未实现损益分析</w:t>
      </w:r>
    </w:p>
    <w:p>
      <w:r>
        <w:rPr>
          <w:rFonts w:ascii="Calibri" w:hAnsi="Calibri" w:eastAsia="Microsoft YaHei"/>
          <w:b w:val="0"/>
          <w:i w:val="0"/>
          <w:sz w:val="22"/>
        </w:rPr>
        <w:t>未实现损益反映当前未平仓头寸的日度盯市变化。多数空仓交易日的损益为零，而有持仓期间则形成相对集中的正向或负向损益观测值。</w:t>
      </w:r>
    </w:p>
    <w:p>
      <w:pPr>
        <w:jc w:val="center"/>
      </w:pPr>
      <w:r>
        <w:rPr>
          <w:rFonts w:ascii="Calibri" w:hAnsi="Calibri" w:eastAsia="Microsoft YaHei"/>
          <w:b/>
          <w:sz w:val="20"/>
        </w:rPr>
        <w:t>图 15.2 日度未实现损益</w:t>
      </w:r>
    </w:p>
    <w:p>
      <w:pPr>
        <w:jc w:val="center"/>
      </w:pPr>
      <w:r>
        <w:drawing>
          <wp:inline xmlns:a="http://schemas.openxmlformats.org/drawingml/2006/main" xmlns:pic="http://schemas.openxmlformats.org/drawingml/2006/picture">
            <wp:extent cx="5943600" cy="2971800"/>
            <wp:docPr id="14" name="Picture 14"/>
            <wp:cNvGraphicFramePr>
              <a:graphicFrameLocks noChangeAspect="1"/>
            </wp:cNvGraphicFramePr>
            <a:graphic>
              <a:graphicData uri="http://schemas.openxmlformats.org/drawingml/2006/picture">
                <pic:pic>
                  <pic:nvPicPr>
                    <pic:cNvPr id="0" name="pnl_bar_v3.png"/>
                    <pic:cNvPicPr/>
                  </pic:nvPicPr>
                  <pic:blipFill>
                    <a:blip r:embed="rId22"/>
                    <a:stretch>
                      <a:fillRect/>
                    </a:stretch>
                  </pic:blipFill>
                  <pic:spPr>
                    <a:xfrm>
                      <a:off x="0" y="0"/>
                      <a:ext cx="5943600" cy="2971800"/>
                    </a:xfrm>
                    <a:prstGeom prst="rect"/>
                  </pic:spPr>
                </pic:pic>
              </a:graphicData>
            </a:graphic>
          </wp:inline>
        </w:drawing>
      </w:r>
    </w:p>
    <w:p>
      <w:pPr>
        <w:jc w:val="center"/>
      </w:pPr>
      <w:r>
        <w:rPr>
          <w:rFonts w:ascii="Calibri" w:hAnsi="Calibri" w:eastAsia="Microsoft YaHei"/>
          <w:i/>
          <w:sz w:val="18"/>
        </w:rPr>
        <w:t>当前未平仓头寸形成的日度未实现损益。投资组合损益主要集中于存在有效持仓的交易日。</w:t>
      </w:r>
    </w:p>
    <w:p>
      <w:pPr>
        <w:pStyle w:val="Heading2"/>
      </w:pPr>
      <w:r>
        <w:rPr>
          <w:rFonts w:ascii="Calibri" w:hAnsi="Calibri" w:eastAsia="Microsoft YaHei"/>
          <w:b/>
          <w:sz w:val="26"/>
        </w:rPr>
        <w:t>15.5 回撤分析</w:t>
      </w:r>
    </w:p>
    <w:p>
      <w:r>
        <w:rPr>
          <w:rFonts w:ascii="Calibri" w:hAnsi="Calibri" w:eastAsia="Microsoft YaHei"/>
          <w:b w:val="0"/>
          <w:i w:val="0"/>
          <w:sz w:val="22"/>
        </w:rPr>
        <w:t>回撤衡量投资组合净值相对于历史峰值的下降幅度。由于平台包含大量空仓日，并使用研究阶段的持仓规模，账户层面的绝对回撤相对有限，但回撤曲线仍能识别组合表现较弱的时间区间。</w:t>
      </w:r>
    </w:p>
    <w:p>
      <w:pPr>
        <w:jc w:val="center"/>
      </w:pPr>
      <w:r>
        <w:rPr>
          <w:rFonts w:ascii="Calibri" w:hAnsi="Calibri" w:eastAsia="Microsoft YaHei"/>
          <w:b/>
          <w:sz w:val="20"/>
        </w:rPr>
        <w:t>图 15.3 投资组合回撤</w:t>
      </w:r>
    </w:p>
    <w:p>
      <w:pPr>
        <w:jc w:val="center"/>
      </w:pPr>
      <w:r>
        <w:drawing>
          <wp:inline xmlns:a="http://schemas.openxmlformats.org/drawingml/2006/main" xmlns:pic="http://schemas.openxmlformats.org/drawingml/2006/picture">
            <wp:extent cx="5943600" cy="2971800"/>
            <wp:docPr id="15" name="Picture 15"/>
            <wp:cNvGraphicFramePr>
              <a:graphicFrameLocks noChangeAspect="1"/>
            </wp:cNvGraphicFramePr>
            <a:graphic>
              <a:graphicData uri="http://schemas.openxmlformats.org/drawingml/2006/picture">
                <pic:pic>
                  <pic:nvPicPr>
                    <pic:cNvPr id="0" name="drawdown_curve_v3.png"/>
                    <pic:cNvPicPr/>
                  </pic:nvPicPr>
                  <pic:blipFill>
                    <a:blip r:embed="rId23"/>
                    <a:stretch>
                      <a:fillRect/>
                    </a:stretch>
                  </pic:blipFill>
                  <pic:spPr>
                    <a:xfrm>
                      <a:off x="0" y="0"/>
                      <a:ext cx="5943600" cy="2971800"/>
                    </a:xfrm>
                    <a:prstGeom prst="rect"/>
                  </pic:spPr>
                </pic:pic>
              </a:graphicData>
            </a:graphic>
          </wp:inline>
        </w:drawing>
      </w:r>
    </w:p>
    <w:p>
      <w:pPr>
        <w:jc w:val="center"/>
      </w:pPr>
      <w:r>
        <w:rPr>
          <w:rFonts w:ascii="Calibri" w:hAnsi="Calibri" w:eastAsia="Microsoft YaHei"/>
          <w:i/>
          <w:sz w:val="18"/>
        </w:rPr>
        <w:t>投资组合净值相对于历史峰值的下降幅度。该图用于识别样本期内损失较为集中的时间区间。</w:t>
      </w:r>
    </w:p>
    <w:p>
      <w:pPr>
        <w:pStyle w:val="Heading2"/>
      </w:pPr>
      <w:r>
        <w:rPr>
          <w:rFonts w:ascii="Calibri" w:hAnsi="Calibri" w:eastAsia="Microsoft YaHei"/>
          <w:b/>
          <w:sz w:val="26"/>
        </w:rPr>
        <w:t>15.6 策略贡献</w:t>
      </w:r>
    </w:p>
    <w:p>
      <w:r>
        <w:rPr>
          <w:rFonts w:ascii="Calibri" w:hAnsi="Calibri" w:eastAsia="Microsoft YaHei"/>
          <w:b w:val="0"/>
          <w:i w:val="0"/>
          <w:sz w:val="22"/>
        </w:rPr>
        <w:t>当前投资组合表现主要由多头波动率、蝶式价差及日历价差等策略结构共同形成。不同策略具有不同的损益特征，因此需要在投资组合层面进一步研究资金分配与风险预算。</w:t>
      </w:r>
    </w:p>
    <w:p>
      <w:pPr>
        <w:jc w:val="center"/>
      </w:pPr>
      <w:r>
        <w:rPr>
          <w:rFonts w:ascii="Calibri" w:hAnsi="Calibri" w:eastAsia="Microsoft YaHei"/>
          <w:b/>
          <w:sz w:val="20"/>
        </w:rPr>
        <w:t>表 15.3 策略贡献概览</w:t>
      </w:r>
    </w:p>
    <w:tbl>
      <w:tblPr>
        <w:tblStyle w:val="TableGrid"/>
        <w:tblW w:type="auto" w:w="0"/>
        <w:tblLook w:firstColumn="1" w:firstRow="1" w:lastColumn="0" w:lastRow="0" w:noHBand="0" w:noVBand="1" w:val="04A0"/>
      </w:tblPr>
      <w:tblGrid>
        <w:gridCol w:w="2880"/>
        <w:gridCol w:w="2880"/>
        <w:gridCol w:w="2880"/>
      </w:tblGrid>
      <w:tr>
        <w:tc>
          <w:tcPr>
            <w:tcW w:type="dxa" w:w="2880"/>
            <w:vAlign w:val="center"/>
          </w:tcPr>
          <w:p>
            <w:r>
              <w:rPr>
                <w:rFonts w:ascii="Calibri" w:hAnsi="Calibri" w:eastAsia="Microsoft YaHei"/>
                <w:b/>
                <w:sz w:val="18"/>
              </w:rPr>
              <w:t>策略</w:t>
            </w:r>
          </w:p>
        </w:tc>
        <w:tc>
          <w:tcPr>
            <w:tcW w:type="dxa" w:w="2880"/>
            <w:vAlign w:val="center"/>
          </w:tcPr>
          <w:p>
            <w:r>
              <w:rPr>
                <w:rFonts w:ascii="Calibri" w:hAnsi="Calibri" w:eastAsia="Microsoft YaHei"/>
                <w:b/>
                <w:sz w:val="18"/>
              </w:rPr>
              <w:t>当前贡献</w:t>
            </w:r>
          </w:p>
        </w:tc>
        <w:tc>
          <w:tcPr>
            <w:tcW w:type="dxa" w:w="2880"/>
            <w:vAlign w:val="center"/>
          </w:tcPr>
          <w:p>
            <w:r>
              <w:rPr>
                <w:rFonts w:ascii="Calibri" w:hAnsi="Calibri" w:eastAsia="Microsoft YaHei"/>
                <w:b/>
                <w:sz w:val="18"/>
              </w:rPr>
              <w:t>解释</w:t>
            </w:r>
          </w:p>
        </w:tc>
      </w:tr>
      <w:tr>
        <w:tc>
          <w:tcPr>
            <w:tcW w:type="dxa" w:w="2880"/>
            <w:vAlign w:val="center"/>
          </w:tcPr>
          <w:p>
            <w:r>
              <w:rPr>
                <w:rFonts w:ascii="Calibri" w:hAnsi="Calibri" w:eastAsia="Microsoft YaHei"/>
                <w:b w:val="0"/>
                <w:sz w:val="18"/>
              </w:rPr>
              <w:t>多头 ATM 宽跨式</w:t>
            </w:r>
          </w:p>
        </w:tc>
        <w:tc>
          <w:tcPr>
            <w:tcW w:type="dxa" w:w="2880"/>
            <w:vAlign w:val="center"/>
          </w:tcPr>
          <w:p>
            <w:r>
              <w:rPr>
                <w:rFonts w:ascii="Calibri" w:hAnsi="Calibri" w:eastAsia="Microsoft YaHei"/>
                <w:b w:val="0"/>
                <w:sz w:val="18"/>
              </w:rPr>
              <w:t>表现混合</w:t>
            </w:r>
          </w:p>
        </w:tc>
        <w:tc>
          <w:tcPr>
            <w:tcW w:type="dxa" w:w="2880"/>
            <w:vAlign w:val="center"/>
          </w:tcPr>
          <w:p>
            <w:r>
              <w:rPr>
                <w:rFonts w:ascii="Calibri" w:hAnsi="Calibri" w:eastAsia="Microsoft YaHei"/>
                <w:b w:val="0"/>
                <w:sz w:val="18"/>
              </w:rPr>
              <w:t>多头波动率基准策略</w:t>
            </w:r>
          </w:p>
        </w:tc>
      </w:tr>
      <w:tr>
        <w:tc>
          <w:tcPr>
            <w:tcW w:type="dxa" w:w="2880"/>
            <w:vAlign w:val="center"/>
          </w:tcPr>
          <w:p>
            <w:r>
              <w:rPr>
                <w:rFonts w:ascii="Calibri" w:hAnsi="Calibri" w:eastAsia="Microsoft YaHei"/>
                <w:b w:val="0"/>
                <w:sz w:val="18"/>
              </w:rPr>
              <w:t>多头看涨蝶式价差</w:t>
            </w:r>
          </w:p>
        </w:tc>
        <w:tc>
          <w:tcPr>
            <w:tcW w:type="dxa" w:w="2880"/>
            <w:vAlign w:val="center"/>
          </w:tcPr>
          <w:p>
            <w:r>
              <w:rPr>
                <w:rFonts w:ascii="Calibri" w:hAnsi="Calibri" w:eastAsia="Microsoft YaHei"/>
                <w:b w:val="0"/>
                <w:sz w:val="18"/>
              </w:rPr>
              <w:t>当前样本相对稳定</w:t>
            </w:r>
          </w:p>
        </w:tc>
        <w:tc>
          <w:tcPr>
            <w:tcW w:type="dxa" w:w="2880"/>
            <w:vAlign w:val="center"/>
          </w:tcPr>
          <w:p>
            <w:r>
              <w:rPr>
                <w:rFonts w:ascii="Calibri" w:hAnsi="Calibri" w:eastAsia="Microsoft YaHei"/>
                <w:b w:val="0"/>
                <w:sz w:val="18"/>
              </w:rPr>
              <w:t>风险有限的凸性结构</w:t>
            </w:r>
          </w:p>
        </w:tc>
      </w:tr>
      <w:tr>
        <w:tc>
          <w:tcPr>
            <w:tcW w:type="dxa" w:w="2880"/>
            <w:vAlign w:val="center"/>
          </w:tcPr>
          <w:p>
            <w:r>
              <w:rPr>
                <w:rFonts w:ascii="Calibri" w:hAnsi="Calibri" w:eastAsia="Microsoft YaHei"/>
                <w:b w:val="0"/>
                <w:sz w:val="18"/>
              </w:rPr>
              <w:t>日历价差</w:t>
            </w:r>
          </w:p>
        </w:tc>
        <w:tc>
          <w:tcPr>
            <w:tcW w:type="dxa" w:w="2880"/>
            <w:vAlign w:val="center"/>
          </w:tcPr>
          <w:p>
            <w:r>
              <w:rPr>
                <w:rFonts w:ascii="Calibri" w:hAnsi="Calibri" w:eastAsia="Microsoft YaHei"/>
                <w:b w:val="0"/>
                <w:sz w:val="18"/>
              </w:rPr>
              <w:t>当前样本表现较弱</w:t>
            </w:r>
          </w:p>
        </w:tc>
        <w:tc>
          <w:tcPr>
            <w:tcW w:type="dxa" w:w="2880"/>
            <w:vAlign w:val="center"/>
          </w:tcPr>
          <w:p>
            <w:r>
              <w:rPr>
                <w:rFonts w:ascii="Calibri" w:hAnsi="Calibri" w:eastAsia="Microsoft YaHei"/>
                <w:b w:val="0"/>
                <w:sz w:val="18"/>
              </w:rPr>
              <w:t>仍需进一步校准的期限结构策略</w:t>
            </w:r>
          </w:p>
        </w:tc>
      </w:tr>
    </w:tbl>
    <w:p>
      <w:pPr>
        <w:jc w:val="center"/>
      </w:pPr>
      <w:r>
        <w:rPr>
          <w:rFonts w:ascii="Calibri" w:hAnsi="Calibri" w:eastAsia="Microsoft YaHei"/>
          <w:i/>
          <w:sz w:val="18"/>
        </w:rPr>
        <w:t>不同策略在当前样本中呈现差异化表现，说明后续需要建立更完善的资金分配规则。</w:t>
      </w:r>
    </w:p>
    <w:p>
      <w:pPr>
        <w:pStyle w:val="Heading2"/>
      </w:pPr>
      <w:r>
        <w:rPr>
          <w:rFonts w:ascii="Calibri" w:hAnsi="Calibri" w:eastAsia="Microsoft YaHei"/>
          <w:b/>
          <w:sz w:val="26"/>
        </w:rPr>
        <w:t>15.7 风险解读</w:t>
      </w:r>
    </w:p>
    <w:p>
      <w:r>
        <w:rPr>
          <w:rFonts w:ascii="Calibri" w:hAnsi="Calibri" w:eastAsia="Microsoft YaHei"/>
          <w:b w:val="0"/>
          <w:i w:val="0"/>
          <w:sz w:val="22"/>
        </w:rPr>
        <w:t>投资组合表现应与第 12 章的风险分析结合解读。部分负向损益出现在 Vega 和 Theta 敞口较高的阶段，说明绩效分析必须与 Greeks 风险监控及对冲建议共同使用。</w:t>
      </w:r>
    </w:p>
    <w:p>
      <w:pPr>
        <w:pStyle w:val="ListBullet"/>
      </w:pPr>
      <w:r>
        <w:rPr>
          <w:rFonts w:ascii="Calibri" w:hAnsi="Calibri" w:eastAsia="Microsoft YaHei"/>
          <w:sz w:val="22"/>
        </w:rPr>
        <w:t>净值稳定性部分源于研究阶段较为保守的持仓规模。</w:t>
      </w:r>
    </w:p>
    <w:p>
      <w:pPr>
        <w:pStyle w:val="ListBullet"/>
      </w:pPr>
      <w:r>
        <w:rPr>
          <w:rFonts w:ascii="Calibri" w:hAnsi="Calibri" w:eastAsia="Microsoft YaHei"/>
          <w:sz w:val="22"/>
        </w:rPr>
        <w:t>损益集中于有持仓交易日，而非均匀分布于全部交易日。</w:t>
      </w:r>
    </w:p>
    <w:p>
      <w:pPr>
        <w:pStyle w:val="ListBullet"/>
      </w:pPr>
      <w:r>
        <w:rPr>
          <w:rFonts w:ascii="Calibri" w:hAnsi="Calibri" w:eastAsia="Microsoft YaHei"/>
          <w:sz w:val="22"/>
        </w:rPr>
        <w:t>账户层面的回撤较小，但仍可用于识别表现较弱的阶段。</w:t>
      </w:r>
    </w:p>
    <w:p>
      <w:pPr>
        <w:pStyle w:val="ListBullet"/>
      </w:pPr>
      <w:r>
        <w:rPr>
          <w:rFonts w:ascii="Calibri" w:hAnsi="Calibri" w:eastAsia="Microsoft YaHei"/>
          <w:sz w:val="22"/>
        </w:rPr>
        <w:t>不同策略贡献存在差异，未来需要建立资金分配和风险预算规则。</w:t>
      </w:r>
    </w:p>
    <w:p>
      <w:pPr>
        <w:pStyle w:val="Heading2"/>
      </w:pPr>
      <w:r>
        <w:rPr>
          <w:rFonts w:ascii="Calibri" w:hAnsi="Calibri" w:eastAsia="Microsoft YaHei"/>
          <w:b/>
          <w:sz w:val="26"/>
        </w:rPr>
        <w:t>15.8 当前局限</w:t>
      </w:r>
    </w:p>
    <w:p>
      <w:pPr>
        <w:pStyle w:val="ListBullet"/>
      </w:pPr>
      <w:r>
        <w:rPr>
          <w:rFonts w:ascii="Calibri" w:hAnsi="Calibri" w:eastAsia="Microsoft YaHei"/>
          <w:sz w:val="22"/>
        </w:rPr>
        <w:t>当前评价仅使用可用的 2026 年研究样本。</w:t>
      </w:r>
    </w:p>
    <w:p>
      <w:pPr>
        <w:pStyle w:val="ListBullet"/>
      </w:pPr>
      <w:r>
        <w:rPr>
          <w:rFonts w:ascii="Calibri" w:hAnsi="Calibri" w:eastAsia="Microsoft YaHei"/>
          <w:sz w:val="22"/>
        </w:rPr>
        <w:t>绩效指标主要基于盯市未实现损益。</w:t>
      </w:r>
    </w:p>
    <w:p>
      <w:pPr>
        <w:pStyle w:val="ListBullet"/>
      </w:pPr>
      <w:r>
        <w:rPr>
          <w:rFonts w:ascii="Calibri" w:hAnsi="Calibri" w:eastAsia="Microsoft YaHei"/>
          <w:sz w:val="22"/>
        </w:rPr>
        <w:t>已实现损益、交易成本、滑点、买卖价差和成交模拟尚未完整接入。</w:t>
      </w:r>
    </w:p>
    <w:p>
      <w:pPr>
        <w:pStyle w:val="ListBullet"/>
      </w:pPr>
      <w:r>
        <w:rPr>
          <w:rFonts w:ascii="Calibri" w:hAnsi="Calibri" w:eastAsia="Microsoft YaHei"/>
          <w:sz w:val="22"/>
        </w:rPr>
        <w:t>策略资金分配及持仓规模规则仍较为简化。</w:t>
      </w:r>
    </w:p>
    <w:p>
      <w:pPr>
        <w:pStyle w:val="ListBullet"/>
      </w:pPr>
      <w:r>
        <w:rPr>
          <w:rFonts w:ascii="Calibri" w:hAnsi="Calibri" w:eastAsia="Microsoft YaHei"/>
          <w:sz w:val="22"/>
        </w:rPr>
        <w:t>当前结果应被视为平台有效性验证，而不是最终 Alpha 验证。</w:t>
      </w:r>
    </w:p>
    <w:p>
      <w:r>
        <w:br w:type="page"/>
      </w:r>
    </w:p>
    <w:p>
      <w:pPr>
        <w:pStyle w:val="Heading1"/>
      </w:pPr>
      <w:r>
        <w:rPr>
          <w:rFonts w:ascii="Calibri" w:hAnsi="Calibri" w:eastAsia="Microsoft YaHei"/>
          <w:b/>
          <w:sz w:val="32"/>
        </w:rPr>
        <w:t>16. 当前局限与未来工作</w:t>
      </w:r>
    </w:p>
    <w:p>
      <w:r>
        <w:rPr>
          <w:rFonts w:ascii="Calibri" w:hAnsi="Calibri" w:eastAsia="Microsoft YaHei"/>
          <w:b w:val="0"/>
          <w:i w:val="0"/>
          <w:sz w:val="22"/>
        </w:rPr>
        <w:t>当前量化期权研究平台已经完成从数据处理、波动率研究、策略构建，到投资组合管理、风险监控、对冲建议和自动化报告的整体流程。但由于样本范围、成交模拟和策略校准仍然有限，当前结果应被视为研究平台的阶段性成果。</w:t>
      </w:r>
    </w:p>
    <w:p>
      <w:pPr>
        <w:pStyle w:val="Heading2"/>
      </w:pPr>
      <w:r>
        <w:rPr>
          <w:rFonts w:ascii="Calibri" w:hAnsi="Calibri" w:eastAsia="Microsoft YaHei"/>
          <w:b/>
          <w:sz w:val="26"/>
        </w:rPr>
        <w:t>16.1 当前局限</w:t>
      </w:r>
    </w:p>
    <w:p>
      <w:pPr>
        <w:pStyle w:val="ListBullet"/>
      </w:pPr>
      <w:r>
        <w:rPr>
          <w:rFonts w:ascii="Calibri" w:hAnsi="Calibri" w:eastAsia="Microsoft YaHei"/>
          <w:sz w:val="22"/>
        </w:rPr>
        <w:t>当前研究样本主要覆盖 2026 年上半年。</w:t>
      </w:r>
    </w:p>
    <w:p>
      <w:pPr>
        <w:pStyle w:val="ListBullet"/>
      </w:pPr>
      <w:r>
        <w:rPr>
          <w:rFonts w:ascii="Calibri" w:hAnsi="Calibri" w:eastAsia="Microsoft YaHei"/>
          <w:sz w:val="22"/>
        </w:rPr>
        <w:t>部分策略完成的历史交易数量仍然有限。</w:t>
      </w:r>
    </w:p>
    <w:p>
      <w:pPr>
        <w:pStyle w:val="ListBullet"/>
      </w:pPr>
      <w:r>
        <w:rPr>
          <w:rFonts w:ascii="Calibri" w:hAnsi="Calibri" w:eastAsia="Microsoft YaHei"/>
          <w:sz w:val="22"/>
        </w:rPr>
        <w:t>交易成本、买卖价差、滑点和成交模拟尚未完整实现。</w:t>
      </w:r>
    </w:p>
    <w:p>
      <w:pPr>
        <w:pStyle w:val="ListBullet"/>
      </w:pPr>
      <w:r>
        <w:rPr>
          <w:rFonts w:ascii="Calibri" w:hAnsi="Calibri" w:eastAsia="Microsoft YaHei"/>
          <w:sz w:val="22"/>
        </w:rPr>
        <w:t>信号评分公式仍需通过正式 Signal Engine 进行标准化记录。</w:t>
      </w:r>
    </w:p>
    <w:p>
      <w:pPr>
        <w:pStyle w:val="ListBullet"/>
      </w:pPr>
      <w:r>
        <w:rPr>
          <w:rFonts w:ascii="Calibri" w:hAnsi="Calibri" w:eastAsia="Microsoft YaHei"/>
          <w:sz w:val="22"/>
        </w:rPr>
        <w:t>对冲规模和风险阈值仍需基于历史数据完成经验校准。</w:t>
      </w:r>
    </w:p>
    <w:p>
      <w:pPr>
        <w:pStyle w:val="ListBullet"/>
      </w:pPr>
      <w:r>
        <w:rPr>
          <w:rFonts w:ascii="Calibri" w:hAnsi="Calibri" w:eastAsia="Microsoft YaHei"/>
          <w:sz w:val="22"/>
        </w:rPr>
        <w:t>当前策略表现尚未经过独立样本外测试。</w:t>
      </w:r>
    </w:p>
    <w:p>
      <w:pPr>
        <w:pStyle w:val="Heading2"/>
      </w:pPr>
      <w:r>
        <w:rPr>
          <w:rFonts w:ascii="Calibri" w:hAnsi="Calibri" w:eastAsia="Microsoft YaHei"/>
          <w:b/>
          <w:sz w:val="26"/>
        </w:rPr>
        <w:t>16.2 后续研究方向</w:t>
      </w:r>
    </w:p>
    <w:p>
      <w:pPr>
        <w:pStyle w:val="ListBullet"/>
      </w:pPr>
      <w:r>
        <w:rPr>
          <w:rFonts w:ascii="Calibri" w:hAnsi="Calibri" w:eastAsia="Microsoft YaHei"/>
          <w:sz w:val="22"/>
        </w:rPr>
        <w:t>扩展至更长时间区间和更多市场状态。</w:t>
      </w:r>
    </w:p>
    <w:p>
      <w:pPr>
        <w:pStyle w:val="ListBullet"/>
      </w:pPr>
      <w:r>
        <w:rPr>
          <w:rFonts w:ascii="Calibri" w:hAnsi="Calibri" w:eastAsia="Microsoft YaHei"/>
          <w:sz w:val="22"/>
        </w:rPr>
        <w:t>建立完整的历史交易生命周期回测。</w:t>
      </w:r>
    </w:p>
    <w:p>
      <w:pPr>
        <w:pStyle w:val="ListBullet"/>
      </w:pPr>
      <w:r>
        <w:rPr>
          <w:rFonts w:ascii="Calibri" w:hAnsi="Calibri" w:eastAsia="Microsoft YaHei"/>
          <w:sz w:val="22"/>
        </w:rPr>
        <w:t>接入交易成本、滑点、买卖价差及现实成交假设。</w:t>
      </w:r>
    </w:p>
    <w:p>
      <w:pPr>
        <w:pStyle w:val="ListBullet"/>
      </w:pPr>
      <w:r>
        <w:rPr>
          <w:rFonts w:ascii="Calibri" w:hAnsi="Calibri" w:eastAsia="Microsoft YaHei"/>
          <w:sz w:val="22"/>
        </w:rPr>
        <w:t>基于历史 Greeks 敞口校准对冲工具和对冲规模。</w:t>
      </w:r>
    </w:p>
    <w:p>
      <w:pPr>
        <w:pStyle w:val="ListBullet"/>
      </w:pPr>
      <w:r>
        <w:rPr>
          <w:rFonts w:ascii="Calibri" w:hAnsi="Calibri" w:eastAsia="Microsoft YaHei"/>
          <w:sz w:val="22"/>
        </w:rPr>
        <w:t>完善 Strategy Card 中文模块及双语研究文档。</w:t>
      </w:r>
    </w:p>
    <w:p>
      <w:pPr>
        <w:pStyle w:val="ListBullet"/>
      </w:pPr>
      <w:r>
        <w:rPr>
          <w:rFonts w:ascii="Calibri" w:hAnsi="Calibri" w:eastAsia="Microsoft YaHei"/>
          <w:sz w:val="22"/>
        </w:rPr>
        <w:t>建立样本外测试和滚动窗口验证框架。</w:t>
      </w:r>
    </w:p>
    <w:p>
      <w:pPr>
        <w:pStyle w:val="ListBullet"/>
      </w:pPr>
      <w:r>
        <w:rPr>
          <w:rFonts w:ascii="Calibri" w:hAnsi="Calibri" w:eastAsia="Microsoft YaHei"/>
          <w:sz w:val="22"/>
        </w:rPr>
        <w:t>增加自动任务调度、云端部署和实时监控。</w:t>
      </w:r>
    </w:p>
    <w:p>
      <w:pPr>
        <w:pStyle w:val="ListBullet"/>
      </w:pPr>
      <w:r>
        <w:rPr>
          <w:rFonts w:ascii="Calibri" w:hAnsi="Calibri" w:eastAsia="Microsoft YaHei"/>
          <w:sz w:val="22"/>
        </w:rPr>
        <w:t>完成 GitHub 中英文 README、示例输出及正式 Release。</w:t>
      </w:r>
    </w:p>
    <w:p>
      <w:pPr>
        <w:pStyle w:val="Heading2"/>
      </w:pPr>
      <w:r>
        <w:rPr>
          <w:rFonts w:ascii="Calibri" w:hAnsi="Calibri" w:eastAsia="Microsoft YaHei"/>
          <w:b/>
          <w:sz w:val="26"/>
        </w:rPr>
        <w:t>16.3 平台发展路线</w:t>
      </w:r>
    </w:p>
    <w:p>
      <w:r>
        <w:rPr>
          <w:rFonts w:ascii="Consolas" w:hAnsi="Consolas" w:eastAsia="Microsoft YaHei"/>
          <w:sz w:val="18"/>
        </w:rPr>
        <w:t>Research Prototype</w:t>
        <w:br/>
        <w:br/>
        <w:t xml:space="preserve">      │</w:t>
        <w:br/>
        <w:t xml:space="preserve">      ▼</w:t>
        <w:br/>
        <w:br/>
        <w:t>Modular Research Platform</w:t>
        <w:br/>
        <w:br/>
        <w:t xml:space="preserve">      │</w:t>
        <w:br/>
        <w:t xml:space="preserve">      ▼</w:t>
        <w:br/>
        <w:br/>
        <w:t>Large-Sample Validation</w:t>
        <w:br/>
        <w:br/>
        <w:t xml:space="preserve">      │</w:t>
        <w:br/>
        <w:t xml:space="preserve">      ▼</w:t>
        <w:br/>
        <w:br/>
        <w:t>Execution Simulation</w:t>
        <w:br/>
        <w:br/>
        <w:t xml:space="preserve">      │</w:t>
        <w:br/>
        <w:t xml:space="preserve">      ▼</w:t>
        <w:br/>
        <w:br/>
        <w:t>Production Quant Platform</w:t>
      </w:r>
    </w:p>
    <w:p>
      <w:r>
        <w:rPr>
          <w:rFonts w:ascii="Calibri" w:hAnsi="Calibri" w:eastAsia="Microsoft YaHei"/>
          <w:b w:val="0"/>
          <w:i w:val="0"/>
          <w:sz w:val="22"/>
        </w:rPr>
        <w:t>后续开发将继续坚持模块化、可复现和风险优先的原则。平台的长期目标并非仅用于展示单一策略，而是建立一套能够支持数据研究、策略验证、投资组合构建和风险管理的完整量化研究基础设施。</w:t>
      </w:r>
    </w:p>
    <w:p>
      <w:r>
        <w:br w:type="page"/>
      </w:r>
    </w:p>
    <w:p>
      <w:pPr>
        <w:pStyle w:val="Heading1"/>
      </w:pPr>
      <w:r>
        <w:rPr>
          <w:rFonts w:ascii="Calibri" w:hAnsi="Calibri" w:eastAsia="Microsoft YaHei"/>
          <w:b/>
          <w:sz w:val="32"/>
        </w:rPr>
        <w:t>附录</w:t>
      </w:r>
    </w:p>
    <w:p>
      <w:pPr>
        <w:pStyle w:val="Heading2"/>
      </w:pPr>
      <w:r>
        <w:rPr>
          <w:rFonts w:ascii="Calibri" w:hAnsi="Calibri" w:eastAsia="Microsoft YaHei"/>
          <w:b/>
          <w:sz w:val="26"/>
        </w:rPr>
        <w:t>附录 A 项目目录结构</w:t>
      </w:r>
    </w:p>
    <w:p>
      <w:r>
        <w:rPr>
          <w:rFonts w:ascii="Calibri" w:hAnsi="Calibri" w:eastAsia="Microsoft YaHei"/>
          <w:b w:val="0"/>
          <w:i w:val="0"/>
          <w:sz w:val="22"/>
        </w:rPr>
        <w:t>本附录介绍量化期权研究平台的整体目录结构。项目采用模块化设计，各目录负责数据处理、策略研究、投资组合、风险管理、自动化报告等不同职责。</w:t>
      </w:r>
    </w:p>
    <w:p>
      <w:pPr>
        <w:jc w:val="center"/>
      </w:pPr>
      <w:r>
        <w:rPr>
          <w:rFonts w:ascii="Calibri" w:hAnsi="Calibri" w:eastAsia="Microsoft YaHei"/>
          <w:b/>
          <w:sz w:val="20"/>
        </w:rPr>
        <w:t>表 A.1 项目目录结构</w:t>
      </w:r>
    </w:p>
    <w:tbl>
      <w:tblPr>
        <w:tblStyle w:val="TableGrid"/>
        <w:tblW w:type="auto" w:w="0"/>
        <w:tblLook w:firstColumn="1" w:firstRow="1" w:lastColumn="0" w:lastRow="0" w:noHBand="0" w:noVBand="1" w:val="04A0"/>
      </w:tblPr>
      <w:tblGrid>
        <w:gridCol w:w="4320"/>
        <w:gridCol w:w="4320"/>
      </w:tblGrid>
      <w:tr>
        <w:tc>
          <w:tcPr>
            <w:tcW w:type="dxa" w:w="4320"/>
            <w:vAlign w:val="center"/>
          </w:tcPr>
          <w:p>
            <w:r>
              <w:rPr>
                <w:rFonts w:ascii="Calibri" w:hAnsi="Calibri" w:eastAsia="Microsoft YaHei"/>
                <w:b/>
                <w:sz w:val="18"/>
              </w:rPr>
              <w:t>目录</w:t>
            </w:r>
          </w:p>
        </w:tc>
        <w:tc>
          <w:tcPr>
            <w:tcW w:type="dxa" w:w="4320"/>
            <w:vAlign w:val="center"/>
          </w:tcPr>
          <w:p>
            <w:r>
              <w:rPr>
                <w:rFonts w:ascii="Calibri" w:hAnsi="Calibri" w:eastAsia="Microsoft YaHei"/>
                <w:b/>
                <w:sz w:val="18"/>
              </w:rPr>
              <w:t>主要职责</w:t>
            </w:r>
          </w:p>
        </w:tc>
      </w:tr>
      <w:tr>
        <w:tc>
          <w:tcPr>
            <w:tcW w:type="dxa" w:w="4320"/>
            <w:vAlign w:val="center"/>
          </w:tcPr>
          <w:p>
            <w:r>
              <w:rPr>
                <w:rFonts w:ascii="Calibri" w:hAnsi="Calibri" w:eastAsia="Microsoft YaHei"/>
                <w:b w:val="0"/>
                <w:sz w:val="18"/>
              </w:rPr>
              <w:t>framework/data</w:t>
            </w:r>
          </w:p>
        </w:tc>
        <w:tc>
          <w:tcPr>
            <w:tcW w:type="dxa" w:w="4320"/>
            <w:vAlign w:val="center"/>
          </w:tcPr>
          <w:p>
            <w:r>
              <w:rPr>
                <w:rFonts w:ascii="Calibri" w:hAnsi="Calibri" w:eastAsia="Microsoft YaHei"/>
                <w:b w:val="0"/>
                <w:sz w:val="18"/>
              </w:rPr>
              <w:t>数据读取、加载与预处理</w:t>
            </w:r>
          </w:p>
        </w:tc>
      </w:tr>
      <w:tr>
        <w:tc>
          <w:tcPr>
            <w:tcW w:type="dxa" w:w="4320"/>
            <w:vAlign w:val="center"/>
          </w:tcPr>
          <w:p>
            <w:r>
              <w:rPr>
                <w:rFonts w:ascii="Calibri" w:hAnsi="Calibri" w:eastAsia="Microsoft YaHei"/>
                <w:b w:val="0"/>
                <w:sz w:val="18"/>
              </w:rPr>
              <w:t>framework/market</w:t>
            </w:r>
          </w:p>
        </w:tc>
        <w:tc>
          <w:tcPr>
            <w:tcW w:type="dxa" w:w="4320"/>
            <w:vAlign w:val="center"/>
          </w:tcPr>
          <w:p>
            <w:r>
              <w:rPr>
                <w:rFonts w:ascii="Calibri" w:hAnsi="Calibri" w:eastAsia="Microsoft YaHei"/>
                <w:b w:val="0"/>
                <w:sz w:val="18"/>
              </w:rPr>
              <w:t>市场数据及交易时段处理</w:t>
            </w:r>
          </w:p>
        </w:tc>
      </w:tr>
      <w:tr>
        <w:tc>
          <w:tcPr>
            <w:tcW w:type="dxa" w:w="4320"/>
            <w:vAlign w:val="center"/>
          </w:tcPr>
          <w:p>
            <w:r>
              <w:rPr>
                <w:rFonts w:ascii="Calibri" w:hAnsi="Calibri" w:eastAsia="Microsoft YaHei"/>
                <w:b w:val="0"/>
                <w:sz w:val="18"/>
              </w:rPr>
              <w:t>framework/strategy</w:t>
            </w:r>
          </w:p>
        </w:tc>
        <w:tc>
          <w:tcPr>
            <w:tcW w:type="dxa" w:w="4320"/>
            <w:vAlign w:val="center"/>
          </w:tcPr>
          <w:p>
            <w:r>
              <w:rPr>
                <w:rFonts w:ascii="Calibri" w:hAnsi="Calibri" w:eastAsia="Microsoft YaHei"/>
                <w:b w:val="0"/>
                <w:sz w:val="18"/>
              </w:rPr>
              <w:t>策略构建与信号生成</w:t>
            </w:r>
          </w:p>
        </w:tc>
      </w:tr>
      <w:tr>
        <w:tc>
          <w:tcPr>
            <w:tcW w:type="dxa" w:w="4320"/>
            <w:vAlign w:val="center"/>
          </w:tcPr>
          <w:p>
            <w:r>
              <w:rPr>
                <w:rFonts w:ascii="Calibri" w:hAnsi="Calibri" w:eastAsia="Microsoft YaHei"/>
                <w:b w:val="0"/>
                <w:sz w:val="18"/>
              </w:rPr>
              <w:t>framework/portfolio</w:t>
            </w:r>
          </w:p>
        </w:tc>
        <w:tc>
          <w:tcPr>
            <w:tcW w:type="dxa" w:w="4320"/>
            <w:vAlign w:val="center"/>
          </w:tcPr>
          <w:p>
            <w:r>
              <w:rPr>
                <w:rFonts w:ascii="Calibri" w:hAnsi="Calibri" w:eastAsia="Microsoft YaHei"/>
                <w:b w:val="0"/>
                <w:sz w:val="18"/>
              </w:rPr>
              <w:t>投资组合与持仓管理</w:t>
            </w:r>
          </w:p>
        </w:tc>
      </w:tr>
      <w:tr>
        <w:tc>
          <w:tcPr>
            <w:tcW w:type="dxa" w:w="4320"/>
            <w:vAlign w:val="center"/>
          </w:tcPr>
          <w:p>
            <w:r>
              <w:rPr>
                <w:rFonts w:ascii="Calibri" w:hAnsi="Calibri" w:eastAsia="Microsoft YaHei"/>
                <w:b w:val="0"/>
                <w:sz w:val="18"/>
              </w:rPr>
              <w:t>framework/risk</w:t>
            </w:r>
          </w:p>
        </w:tc>
        <w:tc>
          <w:tcPr>
            <w:tcW w:type="dxa" w:w="4320"/>
            <w:vAlign w:val="center"/>
          </w:tcPr>
          <w:p>
            <w:r>
              <w:rPr>
                <w:rFonts w:ascii="Calibri" w:hAnsi="Calibri" w:eastAsia="Microsoft YaHei"/>
                <w:b w:val="0"/>
                <w:sz w:val="18"/>
              </w:rPr>
              <w:t>Greeks、风险分析及对冲</w:t>
            </w:r>
          </w:p>
        </w:tc>
      </w:tr>
      <w:tr>
        <w:tc>
          <w:tcPr>
            <w:tcW w:type="dxa" w:w="4320"/>
            <w:vAlign w:val="center"/>
          </w:tcPr>
          <w:p>
            <w:r>
              <w:rPr>
                <w:rFonts w:ascii="Calibri" w:hAnsi="Calibri" w:eastAsia="Microsoft YaHei"/>
                <w:b w:val="0"/>
                <w:sz w:val="18"/>
              </w:rPr>
              <w:t>framework/monitoring</w:t>
            </w:r>
          </w:p>
        </w:tc>
        <w:tc>
          <w:tcPr>
            <w:tcW w:type="dxa" w:w="4320"/>
            <w:vAlign w:val="center"/>
          </w:tcPr>
          <w:p>
            <w:r>
              <w:rPr>
                <w:rFonts w:ascii="Calibri" w:hAnsi="Calibri" w:eastAsia="Microsoft YaHei"/>
                <w:b w:val="0"/>
                <w:sz w:val="18"/>
              </w:rPr>
              <w:t>监控及预警</w:t>
            </w:r>
          </w:p>
        </w:tc>
      </w:tr>
      <w:tr>
        <w:tc>
          <w:tcPr>
            <w:tcW w:type="dxa" w:w="4320"/>
            <w:vAlign w:val="center"/>
          </w:tcPr>
          <w:p>
            <w:r>
              <w:rPr>
                <w:rFonts w:ascii="Calibri" w:hAnsi="Calibri" w:eastAsia="Microsoft YaHei"/>
                <w:b w:val="0"/>
                <w:sz w:val="18"/>
              </w:rPr>
              <w:t>framework/reporting</w:t>
            </w:r>
          </w:p>
        </w:tc>
        <w:tc>
          <w:tcPr>
            <w:tcW w:type="dxa" w:w="4320"/>
            <w:vAlign w:val="center"/>
          </w:tcPr>
          <w:p>
            <w:r>
              <w:rPr>
                <w:rFonts w:ascii="Calibri" w:hAnsi="Calibri" w:eastAsia="Microsoft YaHei"/>
                <w:b w:val="0"/>
                <w:sz w:val="18"/>
              </w:rPr>
              <w:t>Word 报告及图表生成</w:t>
            </w:r>
          </w:p>
        </w:tc>
      </w:tr>
      <w:tr>
        <w:tc>
          <w:tcPr>
            <w:tcW w:type="dxa" w:w="4320"/>
            <w:vAlign w:val="center"/>
          </w:tcPr>
          <w:p>
            <w:r>
              <w:rPr>
                <w:rFonts w:ascii="Calibri" w:hAnsi="Calibri" w:eastAsia="Microsoft YaHei"/>
                <w:b w:val="0"/>
                <w:sz w:val="18"/>
              </w:rPr>
              <w:t>scripts</w:t>
            </w:r>
          </w:p>
        </w:tc>
        <w:tc>
          <w:tcPr>
            <w:tcW w:type="dxa" w:w="4320"/>
            <w:vAlign w:val="center"/>
          </w:tcPr>
          <w:p>
            <w:r>
              <w:rPr>
                <w:rFonts w:ascii="Calibri" w:hAnsi="Calibri" w:eastAsia="Microsoft YaHei"/>
                <w:b w:val="0"/>
                <w:sz w:val="18"/>
              </w:rPr>
              <w:t>研究脚本及自动化流水线</w:t>
            </w:r>
          </w:p>
        </w:tc>
      </w:tr>
      <w:tr>
        <w:tc>
          <w:tcPr>
            <w:tcW w:type="dxa" w:w="4320"/>
            <w:vAlign w:val="center"/>
          </w:tcPr>
          <w:p>
            <w:r>
              <w:rPr>
                <w:rFonts w:ascii="Calibri" w:hAnsi="Calibri" w:eastAsia="Microsoft YaHei"/>
                <w:b w:val="0"/>
                <w:sz w:val="18"/>
              </w:rPr>
              <w:t>research/exports</w:t>
            </w:r>
          </w:p>
        </w:tc>
        <w:tc>
          <w:tcPr>
            <w:tcW w:type="dxa" w:w="4320"/>
            <w:vAlign w:val="center"/>
          </w:tcPr>
          <w:p>
            <w:r>
              <w:rPr>
                <w:rFonts w:ascii="Calibri" w:hAnsi="Calibri" w:eastAsia="Microsoft YaHei"/>
                <w:b w:val="0"/>
                <w:sz w:val="18"/>
              </w:rPr>
              <w:t>CSV / Parquet 输出</w:t>
            </w:r>
          </w:p>
        </w:tc>
      </w:tr>
      <w:tr>
        <w:tc>
          <w:tcPr>
            <w:tcW w:type="dxa" w:w="4320"/>
            <w:vAlign w:val="center"/>
          </w:tcPr>
          <w:p>
            <w:r>
              <w:rPr>
                <w:rFonts w:ascii="Calibri" w:hAnsi="Calibri" w:eastAsia="Microsoft YaHei"/>
                <w:b w:val="0"/>
                <w:sz w:val="18"/>
              </w:rPr>
              <w:t>research/reports</w:t>
            </w:r>
          </w:p>
        </w:tc>
        <w:tc>
          <w:tcPr>
            <w:tcW w:type="dxa" w:w="4320"/>
            <w:vAlign w:val="center"/>
          </w:tcPr>
          <w:p>
            <w:r>
              <w:rPr>
                <w:rFonts w:ascii="Calibri" w:hAnsi="Calibri" w:eastAsia="Microsoft YaHei"/>
                <w:b w:val="0"/>
                <w:sz w:val="18"/>
              </w:rPr>
              <w:t>生成的白皮书及研究报告</w:t>
            </w:r>
          </w:p>
        </w:tc>
      </w:tr>
    </w:tbl>
    <w:p>
      <w:pPr>
        <w:jc w:val="center"/>
      </w:pPr>
      <w:r>
        <w:rPr>
          <w:rFonts w:ascii="Calibri" w:hAnsi="Calibri" w:eastAsia="Microsoft YaHei"/>
          <w:i/>
          <w:sz w:val="18"/>
        </w:rPr>
        <w:t>量化期权研究平台采用模块化目录设计，各目录负责不同研究功能。</w:t>
      </w:r>
    </w:p>
    <w:p>
      <w:r>
        <w:br w:type="page"/>
      </w:r>
    </w:p>
    <w:p>
      <w:pPr>
        <w:pStyle w:val="Heading2"/>
      </w:pPr>
      <w:r>
        <w:rPr>
          <w:rFonts w:ascii="Calibri" w:hAnsi="Calibri" w:eastAsia="Microsoft YaHei"/>
          <w:b/>
          <w:sz w:val="26"/>
        </w:rPr>
        <w:t>附录 B 软件环境</w:t>
      </w:r>
    </w:p>
    <w:p>
      <w:r>
        <w:rPr>
          <w:rFonts w:ascii="Calibri" w:hAnsi="Calibri" w:eastAsia="Microsoft YaHei"/>
          <w:b w:val="0"/>
          <w:i w:val="0"/>
          <w:sz w:val="22"/>
        </w:rPr>
        <w:t>本项目主要采用 Python 数据科学生态开发，并结合 GitHub 进行版本管理。</w:t>
      </w:r>
    </w:p>
    <w:p>
      <w:pPr>
        <w:jc w:val="center"/>
      </w:pPr>
      <w:r>
        <w:rPr>
          <w:rFonts w:ascii="Calibri" w:hAnsi="Calibri" w:eastAsia="Microsoft YaHei"/>
          <w:b/>
          <w:sz w:val="20"/>
        </w:rPr>
        <w:t>表 B.1 软件环境</w:t>
      </w:r>
    </w:p>
    <w:tbl>
      <w:tblPr>
        <w:tblStyle w:val="TableGrid"/>
        <w:tblW w:type="auto" w:w="0"/>
        <w:tblLook w:firstColumn="1" w:firstRow="1" w:lastColumn="0" w:lastRow="0" w:noHBand="0" w:noVBand="1" w:val="04A0"/>
      </w:tblPr>
      <w:tblGrid>
        <w:gridCol w:w="4320"/>
        <w:gridCol w:w="4320"/>
      </w:tblGrid>
      <w:tr>
        <w:tc>
          <w:tcPr>
            <w:tcW w:type="dxa" w:w="4320"/>
            <w:vAlign w:val="center"/>
          </w:tcPr>
          <w:p>
            <w:r>
              <w:rPr>
                <w:rFonts w:ascii="Calibri" w:hAnsi="Calibri" w:eastAsia="Microsoft YaHei"/>
                <w:b/>
                <w:sz w:val="18"/>
              </w:rPr>
              <w:t>组成部分</w:t>
            </w:r>
          </w:p>
        </w:tc>
        <w:tc>
          <w:tcPr>
            <w:tcW w:type="dxa" w:w="4320"/>
            <w:vAlign w:val="center"/>
          </w:tcPr>
          <w:p>
            <w:r>
              <w:rPr>
                <w:rFonts w:ascii="Calibri" w:hAnsi="Calibri" w:eastAsia="Microsoft YaHei"/>
                <w:b/>
                <w:sz w:val="18"/>
              </w:rPr>
              <w:t>环境</w:t>
            </w:r>
          </w:p>
        </w:tc>
      </w:tr>
      <w:tr>
        <w:tc>
          <w:tcPr>
            <w:tcW w:type="dxa" w:w="4320"/>
            <w:vAlign w:val="center"/>
          </w:tcPr>
          <w:p>
            <w:r>
              <w:rPr>
                <w:rFonts w:ascii="Calibri" w:hAnsi="Calibri" w:eastAsia="Microsoft YaHei"/>
                <w:b w:val="0"/>
                <w:sz w:val="18"/>
              </w:rPr>
              <w:t>操作系统</w:t>
            </w:r>
          </w:p>
        </w:tc>
        <w:tc>
          <w:tcPr>
            <w:tcW w:type="dxa" w:w="4320"/>
            <w:vAlign w:val="center"/>
          </w:tcPr>
          <w:p>
            <w:r>
              <w:rPr>
                <w:rFonts w:ascii="Calibri" w:hAnsi="Calibri" w:eastAsia="Microsoft YaHei"/>
                <w:b w:val="0"/>
                <w:sz w:val="18"/>
              </w:rPr>
              <w:t>Windows 11</w:t>
            </w:r>
          </w:p>
        </w:tc>
      </w:tr>
      <w:tr>
        <w:tc>
          <w:tcPr>
            <w:tcW w:type="dxa" w:w="4320"/>
            <w:vAlign w:val="center"/>
          </w:tcPr>
          <w:p>
            <w:r>
              <w:rPr>
                <w:rFonts w:ascii="Calibri" w:hAnsi="Calibri" w:eastAsia="Microsoft YaHei"/>
                <w:b w:val="0"/>
                <w:sz w:val="18"/>
              </w:rPr>
              <w:t>Python</w:t>
            </w:r>
          </w:p>
        </w:tc>
        <w:tc>
          <w:tcPr>
            <w:tcW w:type="dxa" w:w="4320"/>
            <w:vAlign w:val="center"/>
          </w:tcPr>
          <w:p>
            <w:r>
              <w:rPr>
                <w:rFonts w:ascii="Calibri" w:hAnsi="Calibri" w:eastAsia="Microsoft YaHei"/>
                <w:b w:val="0"/>
                <w:sz w:val="18"/>
              </w:rPr>
              <w:t>3.14</w:t>
            </w:r>
          </w:p>
        </w:tc>
      </w:tr>
      <w:tr>
        <w:tc>
          <w:tcPr>
            <w:tcW w:type="dxa" w:w="4320"/>
            <w:vAlign w:val="center"/>
          </w:tcPr>
          <w:p>
            <w:r>
              <w:rPr>
                <w:rFonts w:ascii="Calibri" w:hAnsi="Calibri" w:eastAsia="Microsoft YaHei"/>
                <w:b w:val="0"/>
                <w:sz w:val="18"/>
              </w:rPr>
              <w:t>数据处理</w:t>
            </w:r>
          </w:p>
        </w:tc>
        <w:tc>
          <w:tcPr>
            <w:tcW w:type="dxa" w:w="4320"/>
            <w:vAlign w:val="center"/>
          </w:tcPr>
          <w:p>
            <w:r>
              <w:rPr>
                <w:rFonts w:ascii="Calibri" w:hAnsi="Calibri" w:eastAsia="Microsoft YaHei"/>
                <w:b w:val="0"/>
                <w:sz w:val="18"/>
              </w:rPr>
              <w:t>Pandas、NumPy、PyArrow</w:t>
            </w:r>
          </w:p>
        </w:tc>
      </w:tr>
      <w:tr>
        <w:tc>
          <w:tcPr>
            <w:tcW w:type="dxa" w:w="4320"/>
            <w:vAlign w:val="center"/>
          </w:tcPr>
          <w:p>
            <w:r>
              <w:rPr>
                <w:rFonts w:ascii="Calibri" w:hAnsi="Calibri" w:eastAsia="Microsoft YaHei"/>
                <w:b w:val="0"/>
                <w:sz w:val="18"/>
              </w:rPr>
              <w:t>科学计算</w:t>
            </w:r>
          </w:p>
        </w:tc>
        <w:tc>
          <w:tcPr>
            <w:tcW w:type="dxa" w:w="4320"/>
            <w:vAlign w:val="center"/>
          </w:tcPr>
          <w:p>
            <w:r>
              <w:rPr>
                <w:rFonts w:ascii="Calibri" w:hAnsi="Calibri" w:eastAsia="Microsoft YaHei"/>
                <w:b w:val="0"/>
                <w:sz w:val="18"/>
              </w:rPr>
              <w:t>SciPy</w:t>
            </w:r>
          </w:p>
        </w:tc>
      </w:tr>
      <w:tr>
        <w:tc>
          <w:tcPr>
            <w:tcW w:type="dxa" w:w="4320"/>
            <w:vAlign w:val="center"/>
          </w:tcPr>
          <w:p>
            <w:r>
              <w:rPr>
                <w:rFonts w:ascii="Calibri" w:hAnsi="Calibri" w:eastAsia="Microsoft YaHei"/>
                <w:b w:val="0"/>
                <w:sz w:val="18"/>
              </w:rPr>
              <w:t>绘图</w:t>
            </w:r>
          </w:p>
        </w:tc>
        <w:tc>
          <w:tcPr>
            <w:tcW w:type="dxa" w:w="4320"/>
            <w:vAlign w:val="center"/>
          </w:tcPr>
          <w:p>
            <w:r>
              <w:rPr>
                <w:rFonts w:ascii="Calibri" w:hAnsi="Calibri" w:eastAsia="Microsoft YaHei"/>
                <w:b w:val="0"/>
                <w:sz w:val="18"/>
              </w:rPr>
              <w:t>Matplotlib</w:t>
            </w:r>
          </w:p>
        </w:tc>
      </w:tr>
      <w:tr>
        <w:tc>
          <w:tcPr>
            <w:tcW w:type="dxa" w:w="4320"/>
            <w:vAlign w:val="center"/>
          </w:tcPr>
          <w:p>
            <w:r>
              <w:rPr>
                <w:rFonts w:ascii="Calibri" w:hAnsi="Calibri" w:eastAsia="Microsoft YaHei"/>
                <w:b w:val="0"/>
                <w:sz w:val="18"/>
              </w:rPr>
              <w:t>Word 文档</w:t>
            </w:r>
          </w:p>
        </w:tc>
        <w:tc>
          <w:tcPr>
            <w:tcW w:type="dxa" w:w="4320"/>
            <w:vAlign w:val="center"/>
          </w:tcPr>
          <w:p>
            <w:r>
              <w:rPr>
                <w:rFonts w:ascii="Calibri" w:hAnsi="Calibri" w:eastAsia="Microsoft YaHei"/>
                <w:b w:val="0"/>
                <w:sz w:val="18"/>
              </w:rPr>
              <w:t>python-docx</w:t>
            </w:r>
          </w:p>
        </w:tc>
      </w:tr>
      <w:tr>
        <w:tc>
          <w:tcPr>
            <w:tcW w:type="dxa" w:w="4320"/>
            <w:vAlign w:val="center"/>
          </w:tcPr>
          <w:p>
            <w:r>
              <w:rPr>
                <w:rFonts w:ascii="Calibri" w:hAnsi="Calibri" w:eastAsia="Microsoft YaHei"/>
                <w:b w:val="0"/>
                <w:sz w:val="18"/>
              </w:rPr>
              <w:t>版本控制</w:t>
            </w:r>
          </w:p>
        </w:tc>
        <w:tc>
          <w:tcPr>
            <w:tcW w:type="dxa" w:w="4320"/>
            <w:vAlign w:val="center"/>
          </w:tcPr>
          <w:p>
            <w:r>
              <w:rPr>
                <w:rFonts w:ascii="Calibri" w:hAnsi="Calibri" w:eastAsia="Microsoft YaHei"/>
                <w:b w:val="0"/>
                <w:sz w:val="18"/>
              </w:rPr>
              <w:t>Git / GitHub</w:t>
            </w:r>
          </w:p>
        </w:tc>
      </w:tr>
    </w:tbl>
    <w:p>
      <w:pPr>
        <w:jc w:val="center"/>
      </w:pPr>
      <w:r>
        <w:rPr>
          <w:rFonts w:ascii="Calibri" w:hAnsi="Calibri" w:eastAsia="Microsoft YaHei"/>
          <w:i/>
          <w:sz w:val="18"/>
        </w:rPr>
        <w:t>项目主要开发环境及所使用的软件工具。</w:t>
      </w:r>
    </w:p>
    <w:p>
      <w:r>
        <w:br w:type="page"/>
      </w:r>
    </w:p>
    <w:p>
      <w:pPr>
        <w:pStyle w:val="Heading2"/>
      </w:pPr>
      <w:r>
        <w:rPr>
          <w:rFonts w:ascii="Calibri" w:hAnsi="Calibri" w:eastAsia="Microsoft YaHei"/>
          <w:b/>
          <w:sz w:val="26"/>
        </w:rPr>
        <w:t>附录 C 项目版本历史</w:t>
      </w:r>
    </w:p>
    <w:p>
      <w:r>
        <w:rPr>
          <w:rFonts w:ascii="Calibri" w:hAnsi="Calibri" w:eastAsia="Microsoft YaHei"/>
          <w:b w:val="0"/>
          <w:i w:val="0"/>
          <w:sz w:val="22"/>
        </w:rPr>
        <w:t>平台在研究过程中经历多个迭代版本，逐步增加策略、投资组合、风险监控、自动化及双语文档等功能。</w:t>
      </w:r>
    </w:p>
    <w:p>
      <w:pPr>
        <w:jc w:val="center"/>
      </w:pPr>
      <w:r>
        <w:rPr>
          <w:rFonts w:ascii="Calibri" w:hAnsi="Calibri" w:eastAsia="Microsoft YaHei"/>
          <w:b/>
          <w:sz w:val="20"/>
        </w:rPr>
        <w:t>表 C.1 项目版本历史</w:t>
      </w:r>
    </w:p>
    <w:tbl>
      <w:tblPr>
        <w:tblStyle w:val="TableGrid"/>
        <w:tblW w:type="auto" w:w="0"/>
        <w:tblLook w:firstColumn="1" w:firstRow="1" w:lastColumn="0" w:lastRow="0" w:noHBand="0" w:noVBand="1" w:val="04A0"/>
      </w:tblPr>
      <w:tblGrid>
        <w:gridCol w:w="2880"/>
        <w:gridCol w:w="2880"/>
        <w:gridCol w:w="2880"/>
      </w:tblGrid>
      <w:tr>
        <w:tc>
          <w:tcPr>
            <w:tcW w:type="dxa" w:w="2880"/>
            <w:vAlign w:val="center"/>
          </w:tcPr>
          <w:p>
            <w:r>
              <w:rPr>
                <w:rFonts w:ascii="Calibri" w:hAnsi="Calibri" w:eastAsia="Microsoft YaHei"/>
                <w:b/>
                <w:sz w:val="18"/>
              </w:rPr>
              <w:t>版本</w:t>
            </w:r>
          </w:p>
        </w:tc>
        <w:tc>
          <w:tcPr>
            <w:tcW w:type="dxa" w:w="2880"/>
            <w:vAlign w:val="center"/>
          </w:tcPr>
          <w:p>
            <w:r>
              <w:rPr>
                <w:rFonts w:ascii="Calibri" w:hAnsi="Calibri" w:eastAsia="Microsoft YaHei"/>
                <w:b/>
                <w:sz w:val="18"/>
              </w:rPr>
              <w:t>名称</w:t>
            </w:r>
          </w:p>
        </w:tc>
        <w:tc>
          <w:tcPr>
            <w:tcW w:type="dxa" w:w="2880"/>
            <w:vAlign w:val="center"/>
          </w:tcPr>
          <w:p>
            <w:r>
              <w:rPr>
                <w:rFonts w:ascii="Calibri" w:hAnsi="Calibri" w:eastAsia="Microsoft YaHei"/>
                <w:b/>
                <w:sz w:val="18"/>
              </w:rPr>
              <w:t>主要更新</w:t>
            </w:r>
          </w:p>
        </w:tc>
      </w:tr>
      <w:tr>
        <w:tc>
          <w:tcPr>
            <w:tcW w:type="dxa" w:w="2880"/>
            <w:vAlign w:val="center"/>
          </w:tcPr>
          <w:p>
            <w:r>
              <w:rPr>
                <w:rFonts w:ascii="Calibri" w:hAnsi="Calibri" w:eastAsia="Microsoft YaHei"/>
                <w:b w:val="0"/>
                <w:sz w:val="18"/>
              </w:rPr>
              <w:t>v1.0</w:t>
            </w:r>
          </w:p>
        </w:tc>
        <w:tc>
          <w:tcPr>
            <w:tcW w:type="dxa" w:w="2880"/>
            <w:vAlign w:val="center"/>
          </w:tcPr>
          <w:p>
            <w:r>
              <w:rPr>
                <w:rFonts w:ascii="Calibri" w:hAnsi="Calibri" w:eastAsia="Microsoft YaHei"/>
                <w:b w:val="0"/>
                <w:sz w:val="18"/>
              </w:rPr>
              <w:t>七项目标研究报告</w:t>
            </w:r>
          </w:p>
        </w:tc>
        <w:tc>
          <w:tcPr>
            <w:tcW w:type="dxa" w:w="2880"/>
            <w:vAlign w:val="center"/>
          </w:tcPr>
          <w:p>
            <w:r>
              <w:rPr>
                <w:rFonts w:ascii="Calibri" w:hAnsi="Calibri" w:eastAsia="Microsoft YaHei"/>
                <w:b w:val="0"/>
                <w:sz w:val="18"/>
              </w:rPr>
              <w:t>完成第一阶段研究内容。</w:t>
            </w:r>
          </w:p>
        </w:tc>
      </w:tr>
      <w:tr>
        <w:tc>
          <w:tcPr>
            <w:tcW w:type="dxa" w:w="2880"/>
            <w:vAlign w:val="center"/>
          </w:tcPr>
          <w:p>
            <w:r>
              <w:rPr>
                <w:rFonts w:ascii="Calibri" w:hAnsi="Calibri" w:eastAsia="Microsoft YaHei"/>
                <w:b w:val="0"/>
                <w:sz w:val="18"/>
              </w:rPr>
              <w:t>v1.1</w:t>
            </w:r>
          </w:p>
        </w:tc>
        <w:tc>
          <w:tcPr>
            <w:tcW w:type="dxa" w:w="2880"/>
            <w:vAlign w:val="center"/>
          </w:tcPr>
          <w:p>
            <w:r>
              <w:rPr>
                <w:rFonts w:ascii="Calibri" w:hAnsi="Calibri" w:eastAsia="Microsoft YaHei"/>
                <w:b w:val="0"/>
                <w:sz w:val="18"/>
              </w:rPr>
              <w:t>投资组合平台</w:t>
            </w:r>
          </w:p>
        </w:tc>
        <w:tc>
          <w:tcPr>
            <w:tcW w:type="dxa" w:w="2880"/>
            <w:vAlign w:val="center"/>
          </w:tcPr>
          <w:p>
            <w:r>
              <w:rPr>
                <w:rFonts w:ascii="Calibri" w:hAnsi="Calibri" w:eastAsia="Microsoft YaHei"/>
                <w:b w:val="0"/>
                <w:sz w:val="18"/>
              </w:rPr>
              <w:t>加入 PositionBook、NAV 与 Greeks。</w:t>
            </w:r>
          </w:p>
        </w:tc>
      </w:tr>
      <w:tr>
        <w:tc>
          <w:tcPr>
            <w:tcW w:type="dxa" w:w="2880"/>
            <w:vAlign w:val="center"/>
          </w:tcPr>
          <w:p>
            <w:r>
              <w:rPr>
                <w:rFonts w:ascii="Calibri" w:hAnsi="Calibri" w:eastAsia="Microsoft YaHei"/>
                <w:b w:val="0"/>
                <w:sz w:val="18"/>
              </w:rPr>
              <w:t>v2.0</w:t>
            </w:r>
          </w:p>
        </w:tc>
        <w:tc>
          <w:tcPr>
            <w:tcW w:type="dxa" w:w="2880"/>
            <w:vAlign w:val="center"/>
          </w:tcPr>
          <w:p>
            <w:r>
              <w:rPr>
                <w:rFonts w:ascii="Calibri" w:hAnsi="Calibri" w:eastAsia="Microsoft YaHei"/>
                <w:b w:val="0"/>
                <w:sz w:val="18"/>
              </w:rPr>
              <w:t>风险监控</w:t>
            </w:r>
          </w:p>
        </w:tc>
        <w:tc>
          <w:tcPr>
            <w:tcW w:type="dxa" w:w="2880"/>
            <w:vAlign w:val="center"/>
          </w:tcPr>
          <w:p>
            <w:r>
              <w:rPr>
                <w:rFonts w:ascii="Calibri" w:hAnsi="Calibri" w:eastAsia="Microsoft YaHei"/>
                <w:b w:val="0"/>
                <w:sz w:val="18"/>
              </w:rPr>
              <w:t>增加风险引擎及监控模块。</w:t>
            </w:r>
          </w:p>
        </w:tc>
      </w:tr>
      <w:tr>
        <w:tc>
          <w:tcPr>
            <w:tcW w:type="dxa" w:w="2880"/>
            <w:vAlign w:val="center"/>
          </w:tcPr>
          <w:p>
            <w:r>
              <w:rPr>
                <w:rFonts w:ascii="Calibri" w:hAnsi="Calibri" w:eastAsia="Microsoft YaHei"/>
                <w:b w:val="0"/>
                <w:sz w:val="18"/>
              </w:rPr>
              <w:t>v2.2</w:t>
            </w:r>
          </w:p>
        </w:tc>
        <w:tc>
          <w:tcPr>
            <w:tcW w:type="dxa" w:w="2880"/>
            <w:vAlign w:val="center"/>
          </w:tcPr>
          <w:p>
            <w:r>
              <w:rPr>
                <w:rFonts w:ascii="Calibri" w:hAnsi="Calibri" w:eastAsia="Microsoft YaHei"/>
                <w:b w:val="0"/>
                <w:sz w:val="18"/>
              </w:rPr>
              <w:t>技术文档</w:t>
            </w:r>
          </w:p>
        </w:tc>
        <w:tc>
          <w:tcPr>
            <w:tcW w:type="dxa" w:w="2880"/>
            <w:vAlign w:val="center"/>
          </w:tcPr>
          <w:p>
            <w:r>
              <w:rPr>
                <w:rFonts w:ascii="Calibri" w:hAnsi="Calibri" w:eastAsia="Microsoft YaHei"/>
                <w:b w:val="0"/>
                <w:sz w:val="18"/>
              </w:rPr>
              <w:t>整合完整英文技术白皮书。</w:t>
            </w:r>
          </w:p>
        </w:tc>
      </w:tr>
      <w:tr>
        <w:tc>
          <w:tcPr>
            <w:tcW w:type="dxa" w:w="2880"/>
            <w:vAlign w:val="center"/>
          </w:tcPr>
          <w:p>
            <w:r>
              <w:rPr>
                <w:rFonts w:ascii="Calibri" w:hAnsi="Calibri" w:eastAsia="Microsoft YaHei"/>
                <w:b w:val="0"/>
                <w:sz w:val="18"/>
              </w:rPr>
              <w:t>v3.0</w:t>
            </w:r>
          </w:p>
        </w:tc>
        <w:tc>
          <w:tcPr>
            <w:tcW w:type="dxa" w:w="2880"/>
            <w:vAlign w:val="center"/>
          </w:tcPr>
          <w:p>
            <w:r>
              <w:rPr>
                <w:rFonts w:ascii="Calibri" w:hAnsi="Calibri" w:eastAsia="Microsoft YaHei"/>
                <w:b w:val="0"/>
                <w:sz w:val="18"/>
              </w:rPr>
              <w:t>双语平台</w:t>
            </w:r>
          </w:p>
        </w:tc>
        <w:tc>
          <w:tcPr>
            <w:tcW w:type="dxa" w:w="2880"/>
            <w:vAlign w:val="center"/>
          </w:tcPr>
          <w:p>
            <w:r>
              <w:rPr>
                <w:rFonts w:ascii="Calibri" w:hAnsi="Calibri" w:eastAsia="Microsoft YaHei"/>
                <w:b w:val="0"/>
                <w:sz w:val="18"/>
              </w:rPr>
              <w:t>完成中英文技术白皮书及自动化生成。</w:t>
            </w:r>
          </w:p>
        </w:tc>
      </w:tr>
    </w:tbl>
    <w:p>
      <w:pPr>
        <w:jc w:val="center"/>
      </w:pPr>
      <w:r>
        <w:rPr>
          <w:rFonts w:ascii="Calibri" w:hAnsi="Calibri" w:eastAsia="Microsoft YaHei"/>
          <w:i/>
          <w:sz w:val="18"/>
        </w:rPr>
        <w:t>量化期权研究平台主要版本演进。</w:t>
      </w:r>
    </w:p>
    <w:p>
      <w:r>
        <w:rPr>
          <w:rFonts w:ascii="Calibri" w:hAnsi="Calibri" w:eastAsia="Microsoft YaHei"/>
          <w:b w:val="0"/>
          <w:i w:val="0"/>
          <w:sz w:val="22"/>
        </w:rPr>
      </w:r>
    </w:p>
    <w:p>
      <w:r>
        <w:rPr>
          <w:rFonts w:ascii="Calibri" w:hAnsi="Calibri" w:eastAsia="Microsoft YaHei"/>
          <w:b w:val="0"/>
          <w:i w:val="0"/>
          <w:sz w:val="22"/>
        </w:rPr>
        <w:t>至此，本平台已经形成从数据处理、波动率分析、策略研究、投资组合管理、风险监控、自动化报告到中英文技术文档的完整研究框架。</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Microsoft YaHe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Microsoft YaHei"/>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Microsoft YaHe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hAnsi="Calibri" w:eastAsia="Microsoft YaHei"/>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