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configurando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o cruzamento energia–fadiga —, separando o sinal sistemático do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selecionando-se o de melhor compromisso entre ajuste e parcimônia pelo menor AIC/BIC, além do R² ajustado e do RMSE; para o modelo logístico, comparou-se ainda o preditor na escala bruta contra a logarítmica.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14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14;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15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15; Figura 15).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16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16)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17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17; Figura 16).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18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18)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17). No primeiro dia, o vigor supera a fadiga por ampla margem (4,9 pontos); essa vantagem colapsa já no Dia 2, e as duas dimensões passam a se cruzar repetidamente na região central da semana — os pontos de interseção das funções ocorrem nos dias 2, 4, 6 — refletindo um período em que energia e fadiga ficam estatisticamente entrelaçadas. A partir do último cruzamento (Dia 6),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19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19; Figura 18).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19).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20).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20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20).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4), fornecendo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indicando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preferindo-se 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