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e a autoavaliações de fadiga física e mental duas vezes ao dia — a primeira coleta (pré) e a última (pós) — durante sete dias (456 observações), com análise descritiva, comparação do grupo entre a linha de base (Dia 1, pré) e o último dia (Dia 7, pós), regressão linear, derivadas e pontos de inflexão. Resultados: o humor deteriorou-se de forma concentrada no eixo energia–fadiga — da linha de base ao final, o vigor caiu 47% (dz = −1,02) e a fadiga física (+129%; dz = +2,12) e a fadiga do BRUMS (+116%; dz = +0,78) aumentaram, sendo a fadiga física a variável mais responsiva; a trajetória inflectiu-se em torno do Dia 4.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Atletas saudáveis tendem a exibir o perfil iceberg, com vigor elevado destacando-se acima das dimensões negativas (MORGAN, 1985); o achatamento desse perfil indica fadiga acumulada.</w:t>
      </w:r>
    </w:p>
    <w:p>
      <w:pPr>
        <w:spacing w:line="360" w:lineRule="auto"/>
        <w:ind w:firstLine="709"/>
        <w:jc w:val="both"/>
      </w:pPr>
      <w:r>
        <w:rPr>
          <w:rFonts w:ascii="Times New Roman" w:hAnsi="Times New Roman"/>
          <w:b w:val="0"/>
          <w:i w:val="0"/>
          <w:sz w:val="24"/>
        </w:rPr>
        <w:t>Este estudo tem por objetivo avaliar e classificar o perfil de humor de atletas de handebol durante a última semana da pré-temporada competitiva, descrevendo o comportamento geral do grupo por variável, a variação da linha de base (Dia 1, pré) ao último dia (Dia 7, pós), a resposta pré→pós e a sensibilidade relativa das variáveis, com aprofundamento por regressão,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no qual a comissão técnica busca dissipar a fadiga acumulada preservando as adaptações, de modo a maximizar a prontidão para competir. O manejo inadequado da carga pode deteriorar o humor e sinalizar recuperação incompleta; ainda assim, o comportamento do humor nessa janela raramente é caracterizado de forma estruturada. Descrevê-lo quantitativamente — identificando quais variáveis são mais sensíveis e em que momento a trajetória se inflete — oferece subsídios objetivos para individualizar a recuperação.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a Perturbação Total do Humor, PTH = negativas − vigor) e a fadiga física e mental por escalas de 0 a 10, autoaplicadas por formulário eletrônico com carimbo de data/hora duas vezes ao dia (a primeira resposta tomada como “pré” e a última como “pós”), totalizando 456 respostas válidas. Computaram-se estatísticas descritivas com limites (amplitude); a variação da linha de base (Dia 1, pré) ao último dia (Dia 7, pós) e a resposta pré→pós foram avaliadas por Wilcoxon pareado com tamanho de efeito (dz); a tendência semanal por regressão linear (coeficiente por dia e R²). A forma da trajetória foi caracterizada por ajuste cúbico das médias diárias (velocidade, aceleração e ponto de inflexão) e por suavização LOWESS; a variância foi decomposta em sinal da semana, traço e ruído. Adotou-se α = 0,05; processamento em Python (pandas, SciPy, statsmodels).</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da amostra</w:t>
      </w:r>
    </w:p>
    <w:p>
      <w:pPr>
        <w:spacing w:before="120" w:line="240" w:lineRule="auto"/>
        <w:jc w:val="left"/>
      </w:pPr>
      <w:r>
        <w:rPr>
          <w:rFonts w:ascii="Times New Roman" w:hAnsi="Times New Roman"/>
          <w:b w:val="0"/>
          <w:i w:val="0"/>
          <w:sz w:val="20"/>
        </w:rPr>
        <w:t>Tabela 1 – Caracterização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4702"/>
        <w:gridCol w:w="4702"/>
      </w:tblGrid>
      <w:tr>
        <w:tc>
          <w:tcPr>
            <w:tcW w:type="dxa" w:w="4702"/>
          </w:tcPr>
          <w:p>
            <w:r>
              <w:rPr>
                <w:rFonts w:ascii="Times New Roman" w:hAnsi="Times New Roman"/>
                <w:b/>
                <w:i w:val="0"/>
                <w:sz w:val="19"/>
              </w:rPr>
              <w:t>Variável</w:t>
            </w:r>
          </w:p>
        </w:tc>
        <w:tc>
          <w:tcPr>
            <w:tcW w:type="dxa" w:w="4702"/>
          </w:tcPr>
          <w:p>
            <w:r>
              <w:rPr>
                <w:rFonts w:ascii="Times New Roman" w:hAnsi="Times New Roman"/>
                <w:b/>
                <w:i w:val="0"/>
                <w:sz w:val="19"/>
              </w:rPr>
              <w:t>Média ± DP (amplitude)</w:t>
            </w:r>
          </w:p>
        </w:tc>
      </w:tr>
      <w:tr>
        <w:tc>
          <w:tcPr>
            <w:tcW w:type="dxa" w:w="4702"/>
          </w:tcPr>
          <w:p>
            <w:r>
              <w:rPr>
                <w:rFonts w:ascii="Times New Roman" w:hAnsi="Times New Roman"/>
                <w:b w:val="0"/>
                <w:i w:val="0"/>
                <w:sz w:val="19"/>
              </w:rPr>
              <w:t>Idade (anos)</w:t>
            </w:r>
          </w:p>
        </w:tc>
        <w:tc>
          <w:tcPr>
            <w:tcW w:type="dxa" w:w="4702"/>
          </w:tcPr>
          <w:p>
            <w:r>
              <w:rPr>
                <w:rFonts w:ascii="Times New Roman" w:hAnsi="Times New Roman"/>
                <w:b w:val="0"/>
                <w:i w:val="0"/>
                <w:sz w:val="19"/>
              </w:rPr>
              <w:t>22 ± 4 (17–38)</w:t>
            </w:r>
          </w:p>
        </w:tc>
      </w:tr>
      <w:tr>
        <w:tc>
          <w:tcPr>
            <w:tcW w:type="dxa" w:w="4702"/>
          </w:tcPr>
          <w:p>
            <w:r>
              <w:rPr>
                <w:rFonts w:ascii="Times New Roman" w:hAnsi="Times New Roman"/>
                <w:b w:val="0"/>
                <w:i w:val="0"/>
                <w:sz w:val="19"/>
              </w:rPr>
              <w:t>Experiência (anos)</w:t>
            </w:r>
          </w:p>
        </w:tc>
        <w:tc>
          <w:tcPr>
            <w:tcW w:type="dxa" w:w="4702"/>
          </w:tcPr>
          <w:p>
            <w:r>
              <w:rPr>
                <w:rFonts w:ascii="Times New Roman" w:hAnsi="Times New Roman"/>
                <w:b w:val="0"/>
                <w:i w:val="0"/>
                <w:sz w:val="19"/>
              </w:rPr>
              <w:t>10,5 ± 3,8</w:t>
            </w:r>
          </w:p>
        </w:tc>
      </w:tr>
      <w:tr>
        <w:tc>
          <w:tcPr>
            <w:tcW w:type="dxa" w:w="4702"/>
          </w:tcPr>
          <w:p>
            <w:r>
              <w:rPr>
                <w:rFonts w:ascii="Times New Roman" w:hAnsi="Times New Roman"/>
                <w:b w:val="0"/>
                <w:i w:val="0"/>
                <w:sz w:val="19"/>
              </w:rPr>
              <w:t>Estatura (cm)</w:t>
            </w:r>
          </w:p>
        </w:tc>
        <w:tc>
          <w:tcPr>
            <w:tcW w:type="dxa" w:w="4702"/>
          </w:tcPr>
          <w:p>
            <w:r>
              <w:rPr>
                <w:rFonts w:ascii="Times New Roman" w:hAnsi="Times New Roman"/>
                <w:b w:val="0"/>
                <w:i w:val="0"/>
                <w:sz w:val="19"/>
              </w:rPr>
              <w:t>182,5 ± 6,5</w:t>
            </w:r>
          </w:p>
        </w:tc>
      </w:tr>
      <w:tr>
        <w:tc>
          <w:tcPr>
            <w:tcW w:type="dxa" w:w="4702"/>
          </w:tcPr>
          <w:p>
            <w:r>
              <w:rPr>
                <w:rFonts w:ascii="Times New Roman" w:hAnsi="Times New Roman"/>
                <w:b w:val="0"/>
                <w:i w:val="0"/>
                <w:sz w:val="19"/>
              </w:rPr>
              <w:t>Massa corporal (kg)</w:t>
            </w:r>
          </w:p>
        </w:tc>
        <w:tc>
          <w:tcPr>
            <w:tcW w:type="dxa" w:w="4702"/>
          </w:tcPr>
          <w:p>
            <w:r>
              <w:rPr>
                <w:rFonts w:ascii="Times New Roman" w:hAnsi="Times New Roman"/>
                <w:b w:val="0"/>
                <w:i w:val="0"/>
                <w:sz w:val="19"/>
              </w:rPr>
              <w:t>85,8 ± 15,7</w:t>
            </w:r>
          </w:p>
        </w:tc>
      </w:tr>
      <w:tr>
        <w:tc>
          <w:tcPr>
            <w:tcW w:type="dxa" w:w="4702"/>
          </w:tcPr>
          <w:p>
            <w:r>
              <w:rPr>
                <w:rFonts w:ascii="Times New Roman" w:hAnsi="Times New Roman"/>
                <w:b w:val="0"/>
                <w:i w:val="0"/>
                <w:sz w:val="19"/>
              </w:rPr>
              <w:t>Gordura corporal (%)</w:t>
            </w:r>
          </w:p>
        </w:tc>
        <w:tc>
          <w:tcPr>
            <w:tcW w:type="dxa" w:w="4702"/>
          </w:tcPr>
          <w:p>
            <w:r>
              <w:rPr>
                <w:rFonts w:ascii="Times New Roman" w:hAnsi="Times New Roman"/>
                <w:b w:val="0"/>
                <w:i w:val="0"/>
                <w:sz w:val="19"/>
              </w:rPr>
              <w:t>11,6 ± 5,3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w:t>
      </w:r>
    </w:p>
    <w:p>
      <w:pPr>
        <w:spacing w:before="120" w:after="40"/>
        <w:jc w:val="left"/>
      </w:pPr>
      <w:r>
        <w:rPr>
          <w:rFonts w:ascii="Times New Roman" w:hAnsi="Times New Roman"/>
          <w:b/>
          <w:i w:val="0"/>
          <w:sz w:val="24"/>
        </w:rPr>
        <w:t>4.2 Estatística descritiva, distribuição e tendência</w:t>
      </w:r>
    </w:p>
    <w:p>
      <w:pPr>
        <w:spacing w:before="120" w:line="240" w:lineRule="auto"/>
        <w:jc w:val="left"/>
      </w:pPr>
      <w:r>
        <w:rPr>
          <w:rFonts w:ascii="Times New Roman" w:hAnsi="Times New Roman"/>
          <w:b w:val="0"/>
          <w:i w:val="0"/>
          <w:sz w:val="20"/>
        </w:rPr>
        <w:t>Tabela 2 – Estatística descritiva e limites (amplitude)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9"/>
              </w:rPr>
              <w:t>Variável</w:t>
            </w:r>
          </w:p>
        </w:tc>
        <w:tc>
          <w:tcPr>
            <w:tcW w:type="dxa" w:w="1881"/>
          </w:tcPr>
          <w:p>
            <w:r>
              <w:rPr>
                <w:rFonts w:ascii="Times New Roman" w:hAnsi="Times New Roman"/>
                <w:b/>
                <w:i w:val="0"/>
                <w:sz w:val="19"/>
              </w:rPr>
              <w:t>M ± DP</w:t>
            </w:r>
          </w:p>
        </w:tc>
        <w:tc>
          <w:tcPr>
            <w:tcW w:type="dxa" w:w="1881"/>
          </w:tcPr>
          <w:p>
            <w:r>
              <w:rPr>
                <w:rFonts w:ascii="Times New Roman" w:hAnsi="Times New Roman"/>
                <w:b/>
                <w:i w:val="0"/>
                <w:sz w:val="19"/>
              </w:rPr>
              <w:t>Mediana [IIQ]</w:t>
            </w:r>
          </w:p>
        </w:tc>
        <w:tc>
          <w:tcPr>
            <w:tcW w:type="dxa" w:w="1881"/>
          </w:tcPr>
          <w:p>
            <w:r>
              <w:rPr>
                <w:rFonts w:ascii="Times New Roman" w:hAnsi="Times New Roman"/>
                <w:b/>
                <w:i w:val="0"/>
                <w:sz w:val="19"/>
              </w:rPr>
              <w:t>Mín.–Máx.</w:t>
            </w:r>
          </w:p>
        </w:tc>
        <w:tc>
          <w:tcPr>
            <w:tcW w:type="dxa" w:w="1881"/>
          </w:tcPr>
          <w:p>
            <w:r>
              <w:rPr>
                <w:rFonts w:ascii="Times New Roman" w:hAnsi="Times New Roman"/>
                <w:b/>
                <w:i w:val="0"/>
                <w:sz w:val="19"/>
              </w:rPr>
              <w:t>Amplitude</w:t>
            </w:r>
          </w:p>
        </w:tc>
      </w:tr>
      <w:tr>
        <w:tc>
          <w:tcPr>
            <w:tcW w:type="dxa" w:w="1881"/>
          </w:tcPr>
          <w:p>
            <w:r>
              <w:rPr>
                <w:rFonts w:ascii="Times New Roman" w:hAnsi="Times New Roman"/>
                <w:b w:val="0"/>
                <w:i w:val="0"/>
                <w:sz w:val="19"/>
              </w:rPr>
              <w:t>Vigor</w:t>
            </w:r>
          </w:p>
        </w:tc>
        <w:tc>
          <w:tcPr>
            <w:tcW w:type="dxa" w:w="1881"/>
          </w:tcPr>
          <w:p>
            <w:r>
              <w:rPr>
                <w:rFonts w:ascii="Times New Roman" w:hAnsi="Times New Roman"/>
                <w:b w:val="0"/>
                <w:i w:val="0"/>
                <w:sz w:val="19"/>
              </w:rPr>
              <w:t>5,70 ± 3,32</w:t>
            </w:r>
          </w:p>
        </w:tc>
        <w:tc>
          <w:tcPr>
            <w:tcW w:type="dxa" w:w="1881"/>
          </w:tcPr>
          <w:p>
            <w:r>
              <w:rPr>
                <w:rFonts w:ascii="Times New Roman" w:hAnsi="Times New Roman"/>
                <w:b w:val="0"/>
                <w:i w:val="0"/>
                <w:sz w:val="19"/>
              </w:rPr>
              <w:t>6,0 [5,0]</w:t>
            </w:r>
          </w:p>
        </w:tc>
        <w:tc>
          <w:tcPr>
            <w:tcW w:type="dxa" w:w="1881"/>
          </w:tcPr>
          <w:p>
            <w:r>
              <w:rPr>
                <w:rFonts w:ascii="Times New Roman" w:hAnsi="Times New Roman"/>
                <w:b w:val="0"/>
                <w:i w:val="0"/>
                <w:sz w:val="19"/>
              </w:rPr>
              <w:t>0–15</w:t>
            </w:r>
          </w:p>
        </w:tc>
        <w:tc>
          <w:tcPr>
            <w:tcW w:type="dxa" w:w="1881"/>
          </w:tcPr>
          <w:p>
            <w:r>
              <w:rPr>
                <w:rFonts w:ascii="Times New Roman" w:hAnsi="Times New Roman"/>
                <w:b w:val="0"/>
                <w:i w:val="0"/>
                <w:sz w:val="19"/>
              </w:rPr>
              <w:t>15</w:t>
            </w:r>
          </w:p>
        </w:tc>
      </w:tr>
      <w:tr>
        <w:tc>
          <w:tcPr>
            <w:tcW w:type="dxa" w:w="1881"/>
          </w:tcPr>
          <w:p>
            <w:r>
              <w:rPr>
                <w:rFonts w:ascii="Times New Roman" w:hAnsi="Times New Roman"/>
                <w:b w:val="0"/>
                <w:i w:val="0"/>
                <w:sz w:val="19"/>
              </w:rPr>
              <w:t>Fadiga (BRUMS)</w:t>
            </w:r>
          </w:p>
        </w:tc>
        <w:tc>
          <w:tcPr>
            <w:tcW w:type="dxa" w:w="1881"/>
          </w:tcPr>
          <w:p>
            <w:r>
              <w:rPr>
                <w:rFonts w:ascii="Times New Roman" w:hAnsi="Times New Roman"/>
                <w:b w:val="0"/>
                <w:i w:val="0"/>
                <w:sz w:val="19"/>
              </w:rPr>
              <w:t>5,41 ± 4,04</w:t>
            </w:r>
          </w:p>
        </w:tc>
        <w:tc>
          <w:tcPr>
            <w:tcW w:type="dxa" w:w="1881"/>
          </w:tcPr>
          <w:p>
            <w:r>
              <w:rPr>
                <w:rFonts w:ascii="Times New Roman" w:hAnsi="Times New Roman"/>
                <w:b w:val="0"/>
                <w:i w:val="0"/>
                <w:sz w:val="19"/>
              </w:rPr>
              <w:t>4,0 [6,0]</w:t>
            </w:r>
          </w:p>
        </w:tc>
        <w:tc>
          <w:tcPr>
            <w:tcW w:type="dxa" w:w="1881"/>
          </w:tcPr>
          <w:p>
            <w:r>
              <w:rPr>
                <w:rFonts w:ascii="Times New Roman" w:hAnsi="Times New Roman"/>
                <w:b w:val="0"/>
                <w:i w:val="0"/>
                <w:sz w:val="19"/>
              </w:rPr>
              <w:t>0–16</w:t>
            </w:r>
          </w:p>
        </w:tc>
        <w:tc>
          <w:tcPr>
            <w:tcW w:type="dxa" w:w="1881"/>
          </w:tcPr>
          <w:p>
            <w:r>
              <w:rPr>
                <w:rFonts w:ascii="Times New Roman" w:hAnsi="Times New Roman"/>
                <w:b w:val="0"/>
                <w:i w:val="0"/>
                <w:sz w:val="19"/>
              </w:rPr>
              <w:t>16</w:t>
            </w:r>
          </w:p>
        </w:tc>
      </w:tr>
      <w:tr>
        <w:tc>
          <w:tcPr>
            <w:tcW w:type="dxa" w:w="1881"/>
          </w:tcPr>
          <w:p>
            <w:r>
              <w:rPr>
                <w:rFonts w:ascii="Times New Roman" w:hAnsi="Times New Roman"/>
                <w:b w:val="0"/>
                <w:i w:val="0"/>
                <w:sz w:val="19"/>
              </w:rPr>
              <w:t>Fadiga física</w:t>
            </w:r>
          </w:p>
        </w:tc>
        <w:tc>
          <w:tcPr>
            <w:tcW w:type="dxa" w:w="1881"/>
          </w:tcPr>
          <w:p>
            <w:r>
              <w:rPr>
                <w:rFonts w:ascii="Times New Roman" w:hAnsi="Times New Roman"/>
                <w:b w:val="0"/>
                <w:i w:val="0"/>
                <w:sz w:val="19"/>
              </w:rPr>
              <w:t>5,88 ± 2,46</w:t>
            </w:r>
          </w:p>
        </w:tc>
        <w:tc>
          <w:tcPr>
            <w:tcW w:type="dxa" w:w="1881"/>
          </w:tcPr>
          <w:p>
            <w:r>
              <w:rPr>
                <w:rFonts w:ascii="Times New Roman" w:hAnsi="Times New Roman"/>
                <w:b w:val="0"/>
                <w:i w:val="0"/>
                <w:sz w:val="19"/>
              </w:rPr>
              <w:t>6,0 [4,0]</w:t>
            </w:r>
          </w:p>
        </w:tc>
        <w:tc>
          <w:tcPr>
            <w:tcW w:type="dxa" w:w="1881"/>
          </w:tcPr>
          <w:p>
            <w:r>
              <w:rPr>
                <w:rFonts w:ascii="Times New Roman" w:hAnsi="Times New Roman"/>
                <w:b w:val="0"/>
                <w:i w:val="0"/>
                <w:sz w:val="19"/>
              </w:rPr>
              <w:t>0–10</w:t>
            </w:r>
          </w:p>
        </w:tc>
        <w:tc>
          <w:tcPr>
            <w:tcW w:type="dxa" w:w="1881"/>
          </w:tcPr>
          <w:p>
            <w:r>
              <w:rPr>
                <w:rFonts w:ascii="Times New Roman" w:hAnsi="Times New Roman"/>
                <w:b w:val="0"/>
                <w:i w:val="0"/>
                <w:sz w:val="19"/>
              </w:rPr>
              <w:t>10</w:t>
            </w:r>
          </w:p>
        </w:tc>
      </w:tr>
      <w:tr>
        <w:tc>
          <w:tcPr>
            <w:tcW w:type="dxa" w:w="1881"/>
          </w:tcPr>
          <w:p>
            <w:r>
              <w:rPr>
                <w:rFonts w:ascii="Times New Roman" w:hAnsi="Times New Roman"/>
                <w:b w:val="0"/>
                <w:i w:val="0"/>
                <w:sz w:val="19"/>
              </w:rPr>
              <w:t>Fadiga mental</w:t>
            </w:r>
          </w:p>
        </w:tc>
        <w:tc>
          <w:tcPr>
            <w:tcW w:type="dxa" w:w="1881"/>
          </w:tcPr>
          <w:p>
            <w:r>
              <w:rPr>
                <w:rFonts w:ascii="Times New Roman" w:hAnsi="Times New Roman"/>
                <w:b w:val="0"/>
                <w:i w:val="0"/>
                <w:sz w:val="19"/>
              </w:rPr>
              <w:t>4,62 ± 2,85</w:t>
            </w:r>
          </w:p>
        </w:tc>
        <w:tc>
          <w:tcPr>
            <w:tcW w:type="dxa" w:w="1881"/>
          </w:tcPr>
          <w:p>
            <w:r>
              <w:rPr>
                <w:rFonts w:ascii="Times New Roman" w:hAnsi="Times New Roman"/>
                <w:b w:val="0"/>
                <w:i w:val="0"/>
                <w:sz w:val="19"/>
              </w:rPr>
              <w:t>5,0 [5,0]</w:t>
            </w:r>
          </w:p>
        </w:tc>
        <w:tc>
          <w:tcPr>
            <w:tcW w:type="dxa" w:w="1881"/>
          </w:tcPr>
          <w:p>
            <w:r>
              <w:rPr>
                <w:rFonts w:ascii="Times New Roman" w:hAnsi="Times New Roman"/>
                <w:b w:val="0"/>
                <w:i w:val="0"/>
                <w:sz w:val="19"/>
              </w:rPr>
              <w:t>0–10</w:t>
            </w:r>
          </w:p>
        </w:tc>
        <w:tc>
          <w:tcPr>
            <w:tcW w:type="dxa" w:w="1881"/>
          </w:tcPr>
          <w:p>
            <w:r>
              <w:rPr>
                <w:rFonts w:ascii="Times New Roman" w:hAnsi="Times New Roman"/>
                <w:b w:val="0"/>
                <w:i w:val="0"/>
                <w:sz w:val="19"/>
              </w:rPr>
              <w:t>10</w:t>
            </w:r>
          </w:p>
        </w:tc>
      </w:tr>
      <w:tr>
        <w:tc>
          <w:tcPr>
            <w:tcW w:type="dxa" w:w="1881"/>
          </w:tcPr>
          <w:p>
            <w:r>
              <w:rPr>
                <w:rFonts w:ascii="Times New Roman" w:hAnsi="Times New Roman"/>
                <w:b w:val="0"/>
                <w:i w:val="0"/>
                <w:sz w:val="19"/>
              </w:rPr>
              <w:t>PTH/TMD</w:t>
            </w:r>
          </w:p>
        </w:tc>
        <w:tc>
          <w:tcPr>
            <w:tcW w:type="dxa" w:w="1881"/>
          </w:tcPr>
          <w:p>
            <w:r>
              <w:rPr>
                <w:rFonts w:ascii="Times New Roman" w:hAnsi="Times New Roman"/>
                <w:b w:val="0"/>
                <w:i w:val="0"/>
                <w:sz w:val="19"/>
              </w:rPr>
              <w:t>4,39 ± 10,07</w:t>
            </w:r>
          </w:p>
        </w:tc>
        <w:tc>
          <w:tcPr>
            <w:tcW w:type="dxa" w:w="1881"/>
          </w:tcPr>
          <w:p>
            <w:r>
              <w:rPr>
                <w:rFonts w:ascii="Times New Roman" w:hAnsi="Times New Roman"/>
                <w:b w:val="0"/>
                <w:i w:val="0"/>
                <w:sz w:val="19"/>
              </w:rPr>
              <w:t>2,0 [11,0]</w:t>
            </w:r>
          </w:p>
        </w:tc>
        <w:tc>
          <w:tcPr>
            <w:tcW w:type="dxa" w:w="1881"/>
          </w:tcPr>
          <w:p>
            <w:r>
              <w:rPr>
                <w:rFonts w:ascii="Times New Roman" w:hAnsi="Times New Roman"/>
                <w:b w:val="0"/>
                <w:i w:val="0"/>
                <w:sz w:val="19"/>
              </w:rPr>
              <w:t>-12–52</w:t>
            </w:r>
          </w:p>
        </w:tc>
        <w:tc>
          <w:tcPr>
            <w:tcW w:type="dxa" w:w="1881"/>
          </w:tcPr>
          <w:p>
            <w:r>
              <w:rPr>
                <w:rFonts w:ascii="Times New Roman" w:hAnsi="Times New Roman"/>
                <w:b w:val="0"/>
                <w:i w:val="0"/>
                <w:sz w:val="19"/>
              </w:rPr>
              <w:t>64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mantidas próximas ao piso; a fadiga foi a dimensão negativa mais expressiva, e a ampla amplitude da PTH revela marcada heterogeneidade interindividual. Os diagramas de caixa por dia (Figura 1) resumem, para cada variável, a mediana, a dispersão e os extremos, evidenciando o deslocamento progressivo do vigor (para baixo) e das fadigas (para cima). A regressão linear (Figura 2) confirma as tendências: a fadiga física apresenta a inclinação mais acentuada e o melhor ajuste (b = +0,39/dia; R² = 0,10; p &lt; 0,001), seguida da fadiga do BRUMS (b = +0,41/dia; p &lt; 0,001) e do vigor (b = −0,27/dia; p = 0,005); a fadiga mental não exibe tendência (b = +0,04/dia; p = 0,60). Os R² baixos decorrem de a regressão ser computada no nível da observação, em que a variância é dominada pelas diferenças entre atletas e pelo ruído — o que recomenda interpretar a tendência do grupo, não a leitura isolada de um atleta.</w:t>
      </w:r>
    </w:p>
    <w:p>
      <w:pPr>
        <w:spacing w:before="120" w:line="240" w:lineRule="auto"/>
        <w:jc w:val="center"/>
      </w:pPr>
      <w:r>
        <w:rPr>
          <w:rFonts w:ascii="Times New Roman" w:hAnsi="Times New Roman"/>
          <w:b w:val="0"/>
          <w:i w:val="0"/>
          <w:sz w:val="20"/>
        </w:rPr>
        <w:t>Figura 1 – Diagramas de caixa (boxplots) das quatro variáveis por dia</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sem_f_boxplot.png"/>
                    <pic:cNvPicPr/>
                  </pic:nvPicPr>
                  <pic:blipFill>
                    <a:blip r:embed="rId9"/>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2 – Regressão linear de cada variável ao longo da semana (pontos = observações; reta = ajuste; b e R² indicados)</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sem_f_regressao.png"/>
                    <pic:cNvPicPr/>
                  </pic:nvPicPr>
                  <pic:blipFill>
                    <a:blip r:embed="rId10"/>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Comportamento e deterioração ao longo da semana</w:t>
      </w:r>
    </w:p>
    <w:p>
      <w:pPr>
        <w:spacing w:line="360" w:lineRule="auto"/>
        <w:ind w:firstLine="709"/>
        <w:jc w:val="both"/>
      </w:pPr>
      <w:r>
        <w:rPr>
          <w:rFonts w:ascii="Times New Roman" w:hAnsi="Times New Roman"/>
          <w:b w:val="0"/>
          <w:i w:val="0"/>
          <w:sz w:val="24"/>
        </w:rPr>
        <w:t>As trajetórias (Figura 3) mostram que o sinal temporal se concentra no eixo energia–fadiga: o vigor declina e a fadiga — física e do BRUMS — eleva-se progressivamente rumo ao Dia 7, ao passo que a fadiga mental e as subescalas negativas permanecem estáveis. A decomposição da variância indica que o sinal da semana é a menor fração (fadiga física 13%, vigor 7%, fadiga do BRUMS 4%, fadiga mental 1%), com relação sinal-ruído favorável apenas à fadiga física (1,82) e ao vigor (1,52); a maior parte da variância é traço e ruído, o que sustenta o monitoramento por médias de coletas e por tendência, e não por valores isolados. A Figura 4 sintetiza, em escores padronizados, a deterioração conjunta do eixo — vigor descendente e fadigas ascendentes em paralelo.</w:t>
      </w:r>
    </w:p>
    <w:p>
      <w:pPr>
        <w:spacing w:before="120" w:line="240" w:lineRule="auto"/>
        <w:jc w:val="center"/>
      </w:pPr>
      <w:r>
        <w:rPr>
          <w:rFonts w:ascii="Times New Roman" w:hAnsi="Times New Roman"/>
          <w:b w:val="0"/>
          <w:i w:val="0"/>
          <w:sz w:val="20"/>
        </w:rPr>
        <w:t>Figura 3 – Comportamento semanal das quatro variáveis (M ± DP; suavização LOWESS pontilhada)</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sem_f_trajetoria.png"/>
                    <pic:cNvPicPr/>
                  </pic:nvPicPr>
                  <pic:blipFill>
                    <a:blip r:embed="rId11"/>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Deterioração do eixo energia–fadiga em escores padronizados (z): vigor declina, fadiga e fadiga física ascendem</w:t>
      </w:r>
    </w:p>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sem_f_deterioracao.png"/>
                    <pic:cNvPicPr/>
                  </pic:nvPicPr>
                  <pic:blipFill>
                    <a:blip r:embed="rId12"/>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Comparação geral do grupo: linha de base (Dia 1, pré) versus último dia (Dia 7, pós)</w:t>
      </w:r>
    </w:p>
    <w:p>
      <w:pPr>
        <w:spacing w:before="120" w:line="240" w:lineRule="auto"/>
        <w:jc w:val="left"/>
      </w:pPr>
      <w:r>
        <w:rPr>
          <w:rFonts w:ascii="Times New Roman" w:hAnsi="Times New Roman"/>
          <w:b w:val="0"/>
          <w:i w:val="0"/>
          <w:sz w:val="20"/>
        </w:rPr>
        <w:t>Tabela 3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9"/>
              </w:rPr>
              <w:t>Variável</w:t>
            </w:r>
          </w:p>
        </w:tc>
        <w:tc>
          <w:tcPr>
            <w:tcW w:type="dxa" w:w="1344"/>
          </w:tcPr>
          <w:p>
            <w:r>
              <w:rPr>
                <w:rFonts w:ascii="Times New Roman" w:hAnsi="Times New Roman"/>
                <w:b/>
                <w:i w:val="0"/>
                <w:sz w:val="19"/>
              </w:rPr>
              <w:t>Pré D1 (M ± DP)</w:t>
            </w:r>
          </w:p>
        </w:tc>
        <w:tc>
          <w:tcPr>
            <w:tcW w:type="dxa" w:w="1344"/>
          </w:tcPr>
          <w:p>
            <w:r>
              <w:rPr>
                <w:rFonts w:ascii="Times New Roman" w:hAnsi="Times New Roman"/>
                <w:b/>
                <w:i w:val="0"/>
                <w:sz w:val="19"/>
              </w:rPr>
              <w:t>Pós D7 (M ± DP)</w:t>
            </w:r>
          </w:p>
        </w:tc>
        <w:tc>
          <w:tcPr>
            <w:tcW w:type="dxa" w:w="1344"/>
          </w:tcPr>
          <w:p>
            <w:r>
              <w:rPr>
                <w:rFonts w:ascii="Times New Roman" w:hAnsi="Times New Roman"/>
                <w:b/>
                <w:i w:val="0"/>
                <w:sz w:val="19"/>
              </w:rPr>
              <w:t>Δ</w:t>
            </w:r>
          </w:p>
        </w:tc>
        <w:tc>
          <w:tcPr>
            <w:tcW w:type="dxa" w:w="1344"/>
          </w:tcPr>
          <w:p>
            <w:r>
              <w:rPr>
                <w:rFonts w:ascii="Times New Roman" w:hAnsi="Times New Roman"/>
                <w:b/>
                <w:i w:val="0"/>
                <w:sz w:val="19"/>
              </w:rPr>
              <w:t>% mud.</w:t>
            </w:r>
          </w:p>
        </w:tc>
        <w:tc>
          <w:tcPr>
            <w:tcW w:type="dxa" w:w="1344"/>
          </w:tcPr>
          <w:p>
            <w:r>
              <w:rPr>
                <w:rFonts w:ascii="Times New Roman" w:hAnsi="Times New Roman"/>
                <w:b/>
                <w:i w:val="0"/>
                <w:sz w:val="19"/>
              </w:rPr>
              <w:t>dz</w:t>
            </w:r>
          </w:p>
        </w:tc>
        <w:tc>
          <w:tcPr>
            <w:tcW w:type="dxa" w:w="1344"/>
          </w:tcPr>
          <w:p>
            <w:r>
              <w:rPr>
                <w:rFonts w:ascii="Times New Roman" w:hAnsi="Times New Roman"/>
                <w:b/>
                <w:i w:val="0"/>
                <w:sz w:val="19"/>
              </w:rPr>
              <w:t>p</w:t>
            </w:r>
          </w:p>
        </w:tc>
      </w:tr>
      <w:tr>
        <w:tc>
          <w:tcPr>
            <w:tcW w:type="dxa" w:w="1344"/>
          </w:tcPr>
          <w:p>
            <w:r>
              <w:rPr>
                <w:rFonts w:ascii="Times New Roman" w:hAnsi="Times New Roman"/>
                <w:b w:val="0"/>
                <w:i w:val="0"/>
                <w:sz w:val="19"/>
              </w:rPr>
              <w:t>Vigor</w:t>
            </w:r>
          </w:p>
        </w:tc>
        <w:tc>
          <w:tcPr>
            <w:tcW w:type="dxa" w:w="1344"/>
          </w:tcPr>
          <w:p>
            <w:r>
              <w:rPr>
                <w:rFonts w:ascii="Times New Roman" w:hAnsi="Times New Roman"/>
                <w:b w:val="0"/>
                <w:i w:val="0"/>
                <w:sz w:val="19"/>
              </w:rPr>
              <w:t>8,25 ± 3,32</w:t>
            </w:r>
          </w:p>
        </w:tc>
        <w:tc>
          <w:tcPr>
            <w:tcW w:type="dxa" w:w="1344"/>
          </w:tcPr>
          <w:p>
            <w:r>
              <w:rPr>
                <w:rFonts w:ascii="Times New Roman" w:hAnsi="Times New Roman"/>
                <w:b w:val="0"/>
                <w:i w:val="0"/>
                <w:sz w:val="19"/>
              </w:rPr>
              <w:t>4,38 ± 2,83</w:t>
            </w:r>
          </w:p>
        </w:tc>
        <w:tc>
          <w:tcPr>
            <w:tcW w:type="dxa" w:w="1344"/>
          </w:tcPr>
          <w:p>
            <w:r>
              <w:rPr>
                <w:rFonts w:ascii="Times New Roman" w:hAnsi="Times New Roman"/>
                <w:b w:val="0"/>
                <w:i w:val="0"/>
                <w:sz w:val="19"/>
              </w:rPr>
              <w:t>-3,88</w:t>
            </w:r>
          </w:p>
        </w:tc>
        <w:tc>
          <w:tcPr>
            <w:tcW w:type="dxa" w:w="1344"/>
          </w:tcPr>
          <w:p>
            <w:r>
              <w:rPr>
                <w:rFonts w:ascii="Times New Roman" w:hAnsi="Times New Roman"/>
                <w:b w:val="0"/>
                <w:i w:val="0"/>
                <w:sz w:val="19"/>
              </w:rPr>
              <w:t>-47%</w:t>
            </w:r>
          </w:p>
        </w:tc>
        <w:tc>
          <w:tcPr>
            <w:tcW w:type="dxa" w:w="1344"/>
          </w:tcPr>
          <w:p>
            <w:r>
              <w:rPr>
                <w:rFonts w:ascii="Times New Roman" w:hAnsi="Times New Roman"/>
                <w:b w:val="0"/>
                <w:i w:val="0"/>
                <w:sz w:val="19"/>
              </w:rPr>
              <w:t>-1,02</w:t>
            </w:r>
          </w:p>
        </w:tc>
        <w:tc>
          <w:tcPr>
            <w:tcW w:type="dxa" w:w="1344"/>
          </w:tcPr>
          <w:p>
            <w:r>
              <w:rPr>
                <w:rFonts w:ascii="Times New Roman" w:hAnsi="Times New Roman"/>
                <w:b w:val="0"/>
                <w:i w:val="0"/>
                <w:sz w:val="19"/>
              </w:rPr>
              <w:t>0,004</w:t>
            </w:r>
          </w:p>
        </w:tc>
      </w:tr>
      <w:tr>
        <w:tc>
          <w:tcPr>
            <w:tcW w:type="dxa" w:w="1344"/>
          </w:tcPr>
          <w:p>
            <w:r>
              <w:rPr>
                <w:rFonts w:ascii="Times New Roman" w:hAnsi="Times New Roman"/>
                <w:b w:val="0"/>
                <w:i w:val="0"/>
                <w:sz w:val="19"/>
              </w:rPr>
              <w:t>Fadiga (BRUMS)</w:t>
            </w:r>
          </w:p>
        </w:tc>
        <w:tc>
          <w:tcPr>
            <w:tcW w:type="dxa" w:w="1344"/>
          </w:tcPr>
          <w:p>
            <w:r>
              <w:rPr>
                <w:rFonts w:ascii="Times New Roman" w:hAnsi="Times New Roman"/>
                <w:b w:val="0"/>
                <w:i w:val="0"/>
                <w:sz w:val="19"/>
              </w:rPr>
              <w:t>3,62 ± 3,26</w:t>
            </w:r>
          </w:p>
        </w:tc>
        <w:tc>
          <w:tcPr>
            <w:tcW w:type="dxa" w:w="1344"/>
          </w:tcPr>
          <w:p>
            <w:r>
              <w:rPr>
                <w:rFonts w:ascii="Times New Roman" w:hAnsi="Times New Roman"/>
                <w:b w:val="0"/>
                <w:i w:val="0"/>
                <w:sz w:val="19"/>
              </w:rPr>
              <w:t>7,81 ± 4,40</w:t>
            </w:r>
          </w:p>
        </w:tc>
        <w:tc>
          <w:tcPr>
            <w:tcW w:type="dxa" w:w="1344"/>
          </w:tcPr>
          <w:p>
            <w:r>
              <w:rPr>
                <w:rFonts w:ascii="Times New Roman" w:hAnsi="Times New Roman"/>
                <w:b w:val="0"/>
                <w:i w:val="0"/>
                <w:sz w:val="19"/>
              </w:rPr>
              <w:t>+4,19</w:t>
            </w:r>
          </w:p>
        </w:tc>
        <w:tc>
          <w:tcPr>
            <w:tcW w:type="dxa" w:w="1344"/>
          </w:tcPr>
          <w:p>
            <w:r>
              <w:rPr>
                <w:rFonts w:ascii="Times New Roman" w:hAnsi="Times New Roman"/>
                <w:b w:val="0"/>
                <w:i w:val="0"/>
                <w:sz w:val="19"/>
              </w:rPr>
              <w:t>+116%</w:t>
            </w:r>
          </w:p>
        </w:tc>
        <w:tc>
          <w:tcPr>
            <w:tcW w:type="dxa" w:w="1344"/>
          </w:tcPr>
          <w:p>
            <w:r>
              <w:rPr>
                <w:rFonts w:ascii="Times New Roman" w:hAnsi="Times New Roman"/>
                <w:b w:val="0"/>
                <w:i w:val="0"/>
                <w:sz w:val="19"/>
              </w:rPr>
              <w:t>+0,78</w:t>
            </w:r>
          </w:p>
        </w:tc>
        <w:tc>
          <w:tcPr>
            <w:tcW w:type="dxa" w:w="1344"/>
          </w:tcPr>
          <w:p>
            <w:r>
              <w:rPr>
                <w:rFonts w:ascii="Times New Roman" w:hAnsi="Times New Roman"/>
                <w:b w:val="0"/>
                <w:i w:val="0"/>
                <w:sz w:val="19"/>
              </w:rPr>
              <w:t>0,017</w:t>
            </w:r>
          </w:p>
        </w:tc>
      </w:tr>
      <w:tr>
        <w:tc>
          <w:tcPr>
            <w:tcW w:type="dxa" w:w="1344"/>
          </w:tcPr>
          <w:p>
            <w:r>
              <w:rPr>
                <w:rFonts w:ascii="Times New Roman" w:hAnsi="Times New Roman"/>
                <w:b w:val="0"/>
                <w:i w:val="0"/>
                <w:sz w:val="19"/>
              </w:rPr>
              <w:t>Fadiga física</w:t>
            </w:r>
          </w:p>
        </w:tc>
        <w:tc>
          <w:tcPr>
            <w:tcW w:type="dxa" w:w="1344"/>
          </w:tcPr>
          <w:p>
            <w:r>
              <w:rPr>
                <w:rFonts w:ascii="Times New Roman" w:hAnsi="Times New Roman"/>
                <w:b w:val="0"/>
                <w:i w:val="0"/>
                <w:sz w:val="19"/>
              </w:rPr>
              <w:t>3,69 ± 2,41</w:t>
            </w:r>
          </w:p>
        </w:tc>
        <w:tc>
          <w:tcPr>
            <w:tcW w:type="dxa" w:w="1344"/>
          </w:tcPr>
          <w:p>
            <w:r>
              <w:rPr>
                <w:rFonts w:ascii="Times New Roman" w:hAnsi="Times New Roman"/>
                <w:b w:val="0"/>
                <w:i w:val="0"/>
                <w:sz w:val="19"/>
              </w:rPr>
              <w:t>8,44 ± 1,50</w:t>
            </w:r>
          </w:p>
        </w:tc>
        <w:tc>
          <w:tcPr>
            <w:tcW w:type="dxa" w:w="1344"/>
          </w:tcPr>
          <w:p>
            <w:r>
              <w:rPr>
                <w:rFonts w:ascii="Times New Roman" w:hAnsi="Times New Roman"/>
                <w:b w:val="0"/>
                <w:i w:val="0"/>
                <w:sz w:val="19"/>
              </w:rPr>
              <w:t>+4,75</w:t>
            </w:r>
          </w:p>
        </w:tc>
        <w:tc>
          <w:tcPr>
            <w:tcW w:type="dxa" w:w="1344"/>
          </w:tcPr>
          <w:p>
            <w:r>
              <w:rPr>
                <w:rFonts w:ascii="Times New Roman" w:hAnsi="Times New Roman"/>
                <w:b w:val="0"/>
                <w:i w:val="0"/>
                <w:sz w:val="19"/>
              </w:rPr>
              <w:t>+129%</w:t>
            </w:r>
          </w:p>
        </w:tc>
        <w:tc>
          <w:tcPr>
            <w:tcW w:type="dxa" w:w="1344"/>
          </w:tcPr>
          <w:p>
            <w:r>
              <w:rPr>
                <w:rFonts w:ascii="Times New Roman" w:hAnsi="Times New Roman"/>
                <w:b w:val="0"/>
                <w:i w:val="0"/>
                <w:sz w:val="19"/>
              </w:rPr>
              <w:t>+2,12</w:t>
            </w:r>
          </w:p>
        </w:tc>
        <w:tc>
          <w:tcPr>
            <w:tcW w:type="dxa" w:w="1344"/>
          </w:tcPr>
          <w:p>
            <w:r>
              <w:rPr>
                <w:rFonts w:ascii="Times New Roman" w:hAnsi="Times New Roman"/>
                <w:b w:val="0"/>
                <w:i w:val="0"/>
                <w:sz w:val="19"/>
              </w:rPr>
              <w:t>&lt;0,001</w:t>
            </w:r>
          </w:p>
        </w:tc>
      </w:tr>
      <w:tr>
        <w:tc>
          <w:tcPr>
            <w:tcW w:type="dxa" w:w="1344"/>
          </w:tcPr>
          <w:p>
            <w:r>
              <w:rPr>
                <w:rFonts w:ascii="Times New Roman" w:hAnsi="Times New Roman"/>
                <w:b w:val="0"/>
                <w:i w:val="0"/>
                <w:sz w:val="19"/>
              </w:rPr>
              <w:t>Fadiga mental</w:t>
            </w:r>
          </w:p>
        </w:tc>
        <w:tc>
          <w:tcPr>
            <w:tcW w:type="dxa" w:w="1344"/>
          </w:tcPr>
          <w:p>
            <w:r>
              <w:rPr>
                <w:rFonts w:ascii="Times New Roman" w:hAnsi="Times New Roman"/>
                <w:b w:val="0"/>
                <w:i w:val="0"/>
                <w:sz w:val="19"/>
              </w:rPr>
              <w:t>4,00 ± 2,16</w:t>
            </w:r>
          </w:p>
        </w:tc>
        <w:tc>
          <w:tcPr>
            <w:tcW w:type="dxa" w:w="1344"/>
          </w:tcPr>
          <w:p>
            <w:r>
              <w:rPr>
                <w:rFonts w:ascii="Times New Roman" w:hAnsi="Times New Roman"/>
                <w:b w:val="0"/>
                <w:i w:val="0"/>
                <w:sz w:val="19"/>
              </w:rPr>
              <w:t>5,56 ± 3,14</w:t>
            </w:r>
          </w:p>
        </w:tc>
        <w:tc>
          <w:tcPr>
            <w:tcW w:type="dxa" w:w="1344"/>
          </w:tcPr>
          <w:p>
            <w:r>
              <w:rPr>
                <w:rFonts w:ascii="Times New Roman" w:hAnsi="Times New Roman"/>
                <w:b w:val="0"/>
                <w:i w:val="0"/>
                <w:sz w:val="19"/>
              </w:rPr>
              <w:t>+1,56</w:t>
            </w:r>
          </w:p>
        </w:tc>
        <w:tc>
          <w:tcPr>
            <w:tcW w:type="dxa" w:w="1344"/>
          </w:tcPr>
          <w:p>
            <w:r>
              <w:rPr>
                <w:rFonts w:ascii="Times New Roman" w:hAnsi="Times New Roman"/>
                <w:b w:val="0"/>
                <w:i w:val="0"/>
                <w:sz w:val="19"/>
              </w:rPr>
              <w:t>+39%</w:t>
            </w:r>
          </w:p>
        </w:tc>
        <w:tc>
          <w:tcPr>
            <w:tcW w:type="dxa" w:w="1344"/>
          </w:tcPr>
          <w:p>
            <w:r>
              <w:rPr>
                <w:rFonts w:ascii="Times New Roman" w:hAnsi="Times New Roman"/>
                <w:b w:val="0"/>
                <w:i w:val="0"/>
                <w:sz w:val="19"/>
              </w:rPr>
              <w:t>+0,82</w:t>
            </w:r>
          </w:p>
        </w:tc>
        <w:tc>
          <w:tcPr>
            <w:tcW w:type="dxa" w:w="1344"/>
          </w:tcPr>
          <w:p>
            <w:r>
              <w:rPr>
                <w:rFonts w:ascii="Times New Roman" w:hAnsi="Times New Roman"/>
                <w:b w:val="0"/>
                <w:i w:val="0"/>
                <w:sz w:val="19"/>
              </w:rPr>
              <w:t>0,011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dz = +0,78) e a fadiga mental (+39%; dz = +0,82) também aumentando significativamente. A hierarquia de sensibilidade é clara — fadiga física &gt; vigor &gt; fadiga do BRUMS &gt; fadiga mental —, e a fadiga física reúne o maior efeito e a melhor relação sinal-ruído, qualificando-se como o marcador de eleição. Cabe notar que o efeito crônico (linha de base ao final) supera o efeito agudo pré→pós (por exemplo, fadiga física dz agudo = +1,08 versus crônico = +2,12), indicando acúmulo progressivo ao longo da semana, e não apenas resposta pontual ao esforço diário.</w:t>
      </w:r>
    </w:p>
    <w:p>
      <w:pPr>
        <w:spacing w:before="120" w:after="40"/>
        <w:jc w:val="left"/>
      </w:pPr>
      <w:r>
        <w:rPr>
          <w:rFonts w:ascii="Times New Roman" w:hAnsi="Times New Roman"/>
          <w:b/>
          <w:i w:val="0"/>
          <w:sz w:val="24"/>
        </w:rPr>
        <w:t>4.5 Perfil iceberg e ponto de inflexão</w:t>
      </w:r>
    </w:p>
    <w:p>
      <w:pPr>
        <w:spacing w:line="360" w:lineRule="auto"/>
        <w:ind w:firstLine="709"/>
        <w:jc w:val="both"/>
      </w:pPr>
      <w:r>
        <w:rPr>
          <w:rFonts w:ascii="Times New Roman" w:hAnsi="Times New Roman"/>
          <w:b w:val="0"/>
          <w:i w:val="0"/>
          <w:sz w:val="24"/>
        </w:rPr>
        <w:t>A classificação nos perfis de humor mostra a migração do perfil saudável para o de fadiga: o percentual de atletas em perfil iceberg e o índice-iceberg declinam ao longo da semana, com queda acentuada no Dia 7 (Figura 5). A leitura das derivadas (Figura 6) descreve a forma da mudança: a velocidade da fadiga física e da fadiga do BRUMS é máxima nas extremidades, e a aceleração troca de sinal uma única vez — o ponto de inflexão —, situado em torno do Dia 4 para o vigor, a fadiga física e a fadiga do BRUMS. O Dia 4 marca a transição da fase de acomodação para o aprofundamento da fadiga rumo ao Dia 7, delimitando a janela oportuna para a intervenção na recuperação.</w:t>
      </w:r>
    </w:p>
    <w:p>
      <w:pPr>
        <w:spacing w:before="120" w:line="240" w:lineRule="auto"/>
        <w:jc w:val="center"/>
      </w:pPr>
      <w:r>
        <w:rPr>
          <w:rFonts w:ascii="Times New Roman" w:hAnsi="Times New Roman"/>
          <w:b w:val="0"/>
          <w:i w:val="0"/>
          <w:sz w:val="20"/>
        </w:rPr>
        <w:t>Figura 5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sem_f_iceberg.png"/>
                    <pic:cNvPicPr/>
                  </pic:nvPicPr>
                  <pic:blipFill>
                    <a:blip r:embed="rId13"/>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sem_f_derivadas.png"/>
                    <pic:cNvPicPr/>
                  </pic:nvPicPr>
                  <pic:blipFill>
                    <a:blip r:embed="rId14"/>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seguida do vigor;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