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26"/>
        </w:rPr>
        <w:t>DINÂMICA DO HUMOR EM UM MICROCICLO PRÉ-COMPETITIVO DE HANDEBOL DE ELITE: PERFIS DE HUMOR E O EIXO ENERGIA–FADIGA</w:t>
      </w:r>
    </w:p>
    <w:p>
      <w:pPr>
        <w:spacing w:after="200"/>
        <w:jc w:val="center"/>
      </w:pPr>
      <w:r>
        <w:rPr>
          <w:i/>
          <w:sz w:val="22"/>
        </w:rPr>
        <w:t>(versão resumida para apreciação)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descrever a dinâmica do humor de atletas de handebol de elite ao longo de um microciclo pré-competitivo, com ênfase nos perfis de humor e no eixo energia–fadiga.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durante sete dias, com uma coleta de linha de base e duas coletas diárias (pré e pós-treino) nos seis dias de treino, e um total de 286 observações. Aplicaram-se estatística descritiva, consistência interna, classificação dos seis perfis de humor, comparação entre dias e entre pré e pós-treino, além de uma análise exploratória de componentes principais.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energia–fadiga: o vigor caiu e a fadiga subiu do primeiro para o último dia (d = -1,33 e d = 0,78), com confirmação multivariada (Wilks λ = 0,181; p &lt; 0,001). A prevalência dos perfis deslocou-se do iceberg (48% no primeiro dia) para a barbatana de tubarão (22% no último dia), com aumento da chance desse perfil a cada dia (OR = 1,37).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funcional, em um padrão compatível com sobre-esforço funcional, o que recomenda centrar o monitoramento no par vigor–fadiga.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perfis de humor; fadiga; monitoramento do atleta.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(SAW; MAIN; GASTIN, 2016; LOCHBAUM et al., 2021). Por esse motivo, documentos de consenso recomendam o seu uso rotineiro para vigiar a fadiga e orientar as decisões de treino e recuperação (KELLMANN et al., 2018). Entre as dimensões avaliadas, o vigor e a fadiga formam o eixo mais responsivo à carga e sustentam boa parte do valor prático do monitoramento.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Escala de Humor de Brunel (BRUMS) mede seis dimensões do humor, a saber, tensão, depressão, raiva, vigor, fadiga e confusão, e dispõe de validação para o português (TERRY; LANE; FOGARTY, 2003; ROHLFS et al., 2008). A partir dessas dimensões, Terry e colaboradores descreveram seis perfis de humor que resumem o estado do atleta em um único quadro, entre os quais o perfil iceberg, que exprime prontidão, e a barbatana de tubarão, que sinaliza fadiga com vigor ainda preservado (MORGAN, 1985; PARSONS-SMITH; TERRY; MACHIN, 2017; TERRY et al., 2021). A leitura por perfis aproxima o dado psicométrico da linguagem do treinador e facilita a tomada de decisão (HAN; PARSONS-SMITH; TERRY, 2020).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handebol é uma modalidade coletiva intermitente de alta intensidade, com sprints curtos, mudanças de direção, saltos e contato físico, o que impõe elevada demanda neuromuscular e psicofisiológica ao longo da semana de treino (KARCHER; BUCHHEIT, 2014; GARCÍA-SÁNCHEZ et al., 2023). Nesse contexto, a acumulação de carga tende a corroer o vigor e a elevar a fadiga, um padrão que, quando controlado, caracteriza o sobre-esforço funcional e antecede a recuperação planejada (THORPE et al., 2017; ROETE et al., 2021). O acompanhamento do humor oferece, assim, um marcador sensível e de baixo custo para essa janela.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Apesar do interesse crescente, poucos estudos descrevem a migração dos perfis de humor dentro de um microciclo de handebol de elite, com coletas pré e pós-treino que capturam também a variação dentro do dia. O presente trabalho reúne essa descrição em um formato direto e visual, de modo a evidenciar como o par vigor–fadiga governa a mudança do estado do atleta e como os perfis se reconfiguram entre o início e o fim da semana (DE MIRANDA ROHLFS et al., 2024).</w:t>
      </w:r>
    </w:p>
    <w:p>
      <w:pPr>
        <w:spacing w:before="200" w:after="80" w:line="360" w:lineRule="auto"/>
      </w:pPr>
      <w:r>
        <w:rPr>
          <w:b/>
          <w:sz w:val="24"/>
        </w:rPr>
        <w:t>2 OBJETIVO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estrutura das dimensões do BRUMS.</w:t>
      </w:r>
    </w:p>
    <w:p>
      <w:pPr>
        <w:spacing w:before="200" w:after="80" w:line="360" w:lineRule="auto"/>
      </w:pPr>
      <w:r>
        <w:rPr>
          <w:b/>
          <w:sz w:val="24"/>
        </w:rPr>
        <w:t>3 MÉTODO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Participaram 27 atletas de handebol do sexo masculino, de nível de elite (idade de 22,0 ± 3,8 anos; 10,5 ± 3,8 anos de prática), das posições de armador, ala, pivô e goleiro. O humor foi avaliado pela BRUMS-24, que reúne seis dimensões (tensão, depressão, raiva, vigor, fadiga e confusão) com escores de 0 a 16, a partir das quais se calculou também a perturbação total do humor (PTH). O delineamento cobriu sete dias de um microciclo pré-competitivo, com uma coleta de linha de base no primeiro dia e duas coletas diárias, uma antes e outra depois do treino, nos seis dias subsequentes, o que totalizou 286 observações.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Na análise, 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de efeito.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estrutura das seis dimensões foi explorada por análise de componentes principais. Adotou-se nível de significância de 5%.</w:t>
      </w:r>
    </w:p>
    <w:p>
      <w:pPr>
        <w:spacing w:before="200" w:after="80" w:line="360" w:lineRule="auto"/>
      </w:pPr>
      <w:r>
        <w:rPr>
          <w:b/>
          <w:sz w:val="24"/>
        </w:rPr>
        <w:t>4 RESULTADOS</w:t>
      </w:r>
    </w:p>
    <w:p>
      <w:pPr>
        <w:spacing w:before="120" w:after="80" w:line="360" w:lineRule="auto"/>
      </w:pPr>
      <w:r>
        <w:rPr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160" w:after="40"/>
      </w:pPr>
      <w:r>
        <w:rPr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Mín.–Máx.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0"/>
      </w:pPr>
      <w:r>
        <w:rPr>
          <w:i/>
          <w:sz w:val="17"/>
        </w:rPr>
        <w:t>DP: desvio-padrão. PTH: perturbação total do humor. Escores das dimensões variam de 0 a 16.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consistência interna foi adequada nas duas dimensões do eixo energia–fadiga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energia–fadiga como o núcleo do sinal.</w:t>
      </w:r>
    </w:p>
    <w:p>
      <w:pPr>
        <w:spacing w:before="120" w:after="80" w:line="360" w:lineRule="auto"/>
      </w:pPr>
      <w:r>
        <w:rPr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Os seis perfis de humor descritos na literatura estiveram representados na amostra. A Figura 1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4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comparação entre o primeiro e o último dia do microciclo revelou a reconfiguração do perfil médio do grupo. A Figura 2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1349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34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Perfil de humor em escores T no primeiro e no último dia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Essa mudança de forma correspondeu a um deslocamento da prevalência dos perfis (Tabela 2). O perfil iceberg caiu de 48% no primeiro dia para 22% no último, enquanto a barbatana de tubarão subiu de 4% para 22% e o perfil submerso passou de 4% para 14%. A reorganização categórica não alcançou significância no teste do qui-quadrado (χ²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160" w:after="40"/>
      </w:pPr>
      <w:r>
        <w:rPr>
          <w:sz w:val="22"/>
        </w:rPr>
        <w:t>Tabela 2 – Distribuição dos seis perfis de humor no primeiro e no último dia do microciclo: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—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—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i/>
          <w:sz w:val="17"/>
        </w:rPr>
        <w:t>χ² = 8,96; p = 0,111. A migração é descritiva e converge com a queda do vigor e a elevação da fadiga.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4.3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comparação das dimensões entre os sete dias pelo teste de Friedman (Tabela 3)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160" w:after="40"/>
      </w:pPr>
      <w:r>
        <w:rPr>
          <w:sz w:val="22"/>
        </w:rPr>
        <w:t>Tabela 3 – Médias diárias das dimensões do BRUMS e teste de Friedman com W de Kendall (comparação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 PTH: perturbação total do humor.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Figura 3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de vigor, fadiga e perturbação total do humor ao longo dos sete dias.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4.4 Variação entre pré e pós-treino (Wilcoxon)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comparação entre pré e pós-treino pelo teste de Wilcoxon (Tabela 4)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</w:t>
      </w:r>
    </w:p>
    <w:p>
      <w:pPr>
        <w:spacing w:before="160" w:after="40"/>
      </w:pPr>
      <w:r>
        <w:rPr>
          <w:sz w:val="22"/>
        </w:rPr>
        <w:t>Tabela 4 – Comparação entre pré e pós-treino das dimensões do BRUMS e da PTH (teste de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0"/>
      </w:pPr>
      <w:r>
        <w:rPr>
          <w:i/>
          <w:sz w:val="17"/>
        </w:rPr>
        <w:t>p do teste de Wilcoxon; d = tamanho de efeito de Cohen. PTH: perturbação total do humor.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Escores de vigor, fadiga e perturbação total do humor no pré e no pós-treino, por dia.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4.5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As correlações de Spearman entre as dimensões (Tabela 5) mostraram que as dimensões negativas se associam entre si, com destaque para os pares depressão–raiva e tensão–confusão, e que a fadiga se relaciona com a depressão e a raiva. O vigor manteve-se relativamente independente das demais dimensões, o que reforça a sua leitura como um polo próprio do eixo energia–fadiga.</w:t>
      </w:r>
    </w:p>
    <w:p>
      <w:pPr>
        <w:spacing w:before="160" w:after="40"/>
      </w:pPr>
      <w:r>
        <w:rPr>
          <w:sz w:val="22"/>
        </w:rPr>
        <w:t>Tabela 5 – Correlações de Spearman significativas entre as dimensões do BRUMS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i/>
          <w:sz w:val="17"/>
        </w:rPr>
        <w:t>ρ = coeficiente de correlação de Spearman. Apresentam-se apenas os pares com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4.6 Estrutura das dimensões (exploratória)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análise exploratória de componentes principais resumiu a estrutura das seis dimensões. O primeiro componente concentrou 41% da variância e opôs o vigor às dimensões negativas, o que o caracteriza como um eixo geral de perturbação do humor, enquanto o segundo reuniu 23% e separou a ativação. Os dois componentes juntos explicaram 64% da variância, e o critério de Kaiser reteve 2 componentes. A Figura 5 apresenta o biplot, no qual os vetores do vigor e da fadiga se projetam em sentidos opostos ao longo do primeiro componente, o que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320000" cy="29048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bi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04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Biplot da análise de componentes principais das seis dimensões do BRUMS.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Os resultados descrevem, em um microciclo pré-competitivo de handebol de elite, a migração do humor da prontidão para a fadiga funcional. A queda do vigor e a elevação da fadiga entre o primeiro e o último dia, confirmadas pela análise multivariada, situam o eixo energia–fadiga como o principal responsável pela mudança do estado do atleta, em linha com o que a literatura documenta em outras modalidades sob carga (PIERCE, 2002; THORPE et al., 2017).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 não se instalaram. Esse quadro é compatível com o sobre-esforço funcional esperado em uma semana de preparação e reforça a utilidade dos perfis como linguagem de comunicação com a comissão técnica (PARSONS-SMITH; TERRY; MACHIN, 2017; HAN; PARSONS-SMITH; TERRY, 2020).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consistência interna adequada do vigor e da fadiga, somada à forte associação dessas duas dimensões com a perturbação total do humor e à estrutura revelada pela análise de componentes principais, converge para a mesma conclusão por caminhos independentes. As dimensões negativas, concentradas em valores baixos, contribuíram pouco para a variação, o que recomenda centrar o monitoramento rotineiro no par vigor–fadiga, sem que se abandone o registro das demais dimensões (TERRY et al., 2021).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Ainda assim, a descrição oferece um retrato visual e direto da dinâmica do humor no handebol de elite e sustenta a recomendação prática de acompanhar o eixo energia–fadiga ao longo da semana, integrado a um monitoramento multidomínio do estado do atleta (KELLMANN et al., 2018; DE MIRANDA ROHLFS et al., 2024).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276" w:lineRule="auto" w:after="80"/>
        <w:jc w:val="both"/>
      </w:pPr>
      <w:r>
        <w:rPr>
          <w:sz w:val="21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276" w:lineRule="auto" w:after="80"/>
        <w:jc w:val="both"/>
      </w:pPr>
      <w:r>
        <w:rPr>
          <w:sz w:val="21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276" w:lineRule="auto" w:after="80"/>
        <w:jc w:val="both"/>
      </w:pPr>
      <w:r>
        <w:rPr>
          <w:sz w:val="21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276" w:lineRule="auto" w:after="80"/>
        <w:jc w:val="both"/>
      </w:pPr>
      <w:r>
        <w:rPr>
          <w:sz w:val="21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276" w:lineRule="auto" w:after="80"/>
        <w:jc w:val="both"/>
      </w:pPr>
      <w:r>
        <w:rPr>
          <w:sz w:val="21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276" w:lineRule="auto" w:after="80"/>
        <w:jc w:val="both"/>
      </w:pPr>
      <w:r>
        <w:rPr>
          <w:sz w:val="21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276" w:lineRule="auto" w:after="80"/>
        <w:jc w:val="both"/>
      </w:pPr>
      <w:r>
        <w:rPr>
          <w:sz w:val="21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276" w:lineRule="auto" w:after="80"/>
        <w:jc w:val="both"/>
      </w:pPr>
      <w:r>
        <w:rPr>
          <w:sz w:val="21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276" w:lineRule="auto" w:after="80"/>
        <w:jc w:val="both"/>
      </w:pPr>
      <w:r>
        <w:rPr>
          <w:sz w:val="21"/>
        </w:rPr>
        <w:t>PIERCE, E. F. Relationship between training volume and mood states in competitive swimmers during a 24-week season. Perceptual and Motor Skills, v. 94, n. 3, p. 1009–1012, 2002. DOI: 10.2466/pms.2002.94.3.1009.</w:t>
      </w:r>
    </w:p>
    <w:p>
      <w:pPr>
        <w:spacing w:line="276" w:lineRule="auto" w:after="80"/>
        <w:jc w:val="both"/>
      </w:pPr>
      <w:r>
        <w:rPr>
          <w:sz w:val="21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276" w:lineRule="auto" w:after="80"/>
        <w:jc w:val="both"/>
      </w:pPr>
      <w:r>
        <w:rPr>
          <w:sz w:val="21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276" w:lineRule="auto" w:after="80"/>
        <w:jc w:val="both"/>
      </w:pPr>
      <w:r>
        <w:rPr>
          <w:sz w:val="21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276" w:lineRule="auto" w:after="80"/>
        <w:jc w:val="both"/>
      </w:pPr>
      <w:r>
        <w:rPr>
          <w:sz w:val="21"/>
        </w:rPr>
        <w:t>TERRY, P. C.; LANE, A. M.; FOGARTY, G. J. Construct validity of the Profile of Mood States, Adolescents for use with adults. Psychology of Sport and Exercise, v. 4, n. 2, p. 125–139, 2003. DOI: 10.1016/S1469-0292(02)00035-8.</w:t>
      </w:r>
    </w:p>
    <w:p>
      <w:pPr>
        <w:spacing w:line="276" w:lineRule="auto" w:after="80"/>
        <w:jc w:val="both"/>
      </w:pPr>
      <w:r>
        <w:rPr>
          <w:sz w:val="21"/>
        </w:rPr>
        <w:t>TERRY, P. C. et al. Mood profiling for sustainable mental health among athletes. Sustainability, v. 13, n. 11, 6116, 2021. DOI: 10.3390/su13116116.</w:t>
      </w:r>
    </w:p>
    <w:p>
      <w:pPr>
        <w:spacing w:line="276" w:lineRule="auto" w:after="80"/>
        <w:jc w:val="both"/>
      </w:pPr>
      <w:r>
        <w:rPr>
          <w:sz w:val="21"/>
        </w:rPr>
        <w:t>THORPE, R. T. et al. Monitoring fatigue status in elite team-sport athletes: implications for practice. International Journal of Sports Physiology and Performance, v. 12, n. S2, p. S227–S234, 2017. DOI: 10.1123/ijspp.2016-0434.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