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 perfis e médias em instantâneos —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120"/>
        <w:ind w:firstLine="709"/>
        <w:jc w:val="both"/>
      </w:pPr>
      <w:r>
        <w:rPr>
          <w:b w:val="0"/>
          <w:sz w:val="24"/>
        </w:rPr>
        <w:t>Para aprofundar a inferência sobre a dinâmica temporal, acrescentaram-se três abordagens complementares. Primeiro, ajustou-se um modelo bayesiano multinível de curva de crescimento ao vigor e à fadiga,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w:t>
      </w:r>
    </w:p>
    <w:p>
      <w:pPr>
        <w:spacing w:line="360" w:lineRule="auto" w:after="12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5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5):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6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6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7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7) foi moderada a boa, com os valores mais baixos na raiva e na confusão — dimensões mais reativas dia a dia.</w:t>
      </w:r>
    </w:p>
    <w:p>
      <w:pPr>
        <w:spacing w:before="160" w:after="40"/>
      </w:pPr>
      <w:r>
        <w:rPr>
          <w:sz w:val="22"/>
        </w:rPr>
        <w:t>Tabela 8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8;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9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9;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10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10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11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11),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12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12).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13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13).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14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14;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15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15)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16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16;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17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17).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18 – Modelo bayesiano multinível de curva de crescimento para o vigor e a fadiga: estimativas a posteriori (média e intervalo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 pré→pós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 por dia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r>
    </w:tbl>
    <w:p>
      <w:pPr>
        <w:spacing w:after="0"/>
      </w:pPr>
      <w:r>
        <w:rPr>
          <w:i/>
          <w:sz w:val="17"/>
        </w:rPr>
        <w:t>Estimação por amostrador de Gibbs (semente 2024); intervalos de credibilidade que excluem zero indicam efeito consistente. ICC = proporção da variância atribuível a diferenças entre atletas.</w:t>
      </w:r>
    </w:p>
    <w:p>
      <w:pPr>
        <w:spacing w:after="120"/>
      </w:pPr>
      <w:r>
        <w:rPr>
          <w:sz w:val="18"/>
        </w:rPr>
        <w:t>Fonte: dados da pesquisa (2026).</w:t>
      </w:r>
    </w:p>
    <w:p>
      <w:pPr>
        <w:spacing w:line="360" w:lineRule="auto" w:after="12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18).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 heterogeneidade que o modelo quantifica e que respalda a leitura individualizada do monitoramento.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12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 refinamento que a leitura por correlações simples não isola e que traduz, no plano da rede, o “fechamento” do perfil de fadiga.</w:t>
      </w:r>
    </w:p>
    <w:p>
      <w:pPr>
        <w:spacing w:line="360" w:lineRule="auto" w:after="12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 a chance de estar num tercil superior de fadiga mais que dobrou do pré ao pós (OR = 2,25; IC95% 1,43–3,53), enquanto a de vigor caiu na mesma transição (OR = 0,61; IC95% 0,39–0,95) —,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 onde a máxima verossimilhança encontra dificuldade de convergência —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 que não pressupõe normalidade e respeita o efeito-piso das subescalas —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120"/>
        <w:ind w:firstLine="709"/>
        <w:jc w:val="both"/>
      </w:pPr>
      <w:r>
        <w:rPr>
          <w:b w:val="0"/>
          <w:sz w:val="24"/>
        </w:rPr>
        <w:t>Algumas limitações devem ser consideradas na interpretação dos achados. O tamanho amostral (27 atletas) e o desenho observacional de fase única não permitem inferência causal sobre a carga, e as dimensões negativas, próximas do piso, apresentam variância e fidedignidade reduzidas, o que limita a leitura de suas pequenas variações. A conversão dos escores T foi referenciada à própria amostra — e não a tabelas normativas nacionais de atletas —, o que recomenda cautela na comparação absoluta de prevalências entre estudos e na classificação estrita dos perfis.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