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11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11.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12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12;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13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13;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14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14;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15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15)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16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16;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17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17).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18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18;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A sonolência foi medida por uma versão de 6 itens do Epworth (sem ponto de corte clínico validado) e o estresse, pela PSS-14, cujo horizonte de referência é mais amplo que o microciclo; por isso, essas variáveis foram interpretadas por sua média semanal por atleta, e não por flutuações diárias.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