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b/>
          <w:sz w:val="26"/>
        </w:rPr>
        <w:t>PERFIL DE HUMOR DE ATLETAS DE HANDEBOL DE ELITE NA ÚLTIMA SEMANA DE PRÉ-TEMPORADA: ANÁLISE DESCRITIVA, COMPARATIVA E DE CORRELAÇÃO DAS SEIS SUBESCALAS DO BRUMS</w:t>
      </w:r>
    </w:p>
    <w:p>
      <w:pPr>
        <w:spacing w:before="40" w:after="80" w:line="360" w:lineRule="auto"/>
      </w:pPr>
      <w:r>
        <w:rPr>
          <w:b/>
          <w:sz w:val="24"/>
        </w:rPr>
        <w:t>RESUMO</w:t>
      </w:r>
    </w:p>
    <w:p>
      <w:pPr>
        <w:spacing w:line="360" w:lineRule="auto" w:after="120"/>
        <w:ind w:firstLine="709"/>
        <w:jc w:val="both"/>
      </w:pPr>
      <w:r>
        <w:rPr>
          <w:b/>
          <w:sz w:val="24"/>
        </w:rPr>
        <w:t xml:space="preserve">Objetivo: </w:t>
      </w:r>
      <w:r>
        <w:rPr>
          <w:b w:val="0"/>
          <w:sz w:val="24"/>
        </w:rPr>
        <w:t xml:space="preserve">avaliar o perfil de humor de atletas de handebol de elite na última semana de pré-temporada, caracterizando e comparando o comportamento das seis subescalas do BRUMS no nível do grupo e do sujeito. </w:t>
      </w:r>
      <w:r>
        <w:rPr>
          <w:b/>
          <w:sz w:val="24"/>
        </w:rPr>
        <w:t xml:space="preserve">Método: </w:t>
      </w:r>
      <w:r>
        <w:rPr>
          <w:b w:val="0"/>
          <w:sz w:val="24"/>
        </w:rPr>
        <w:t xml:space="preserve">estudo descritivo-comparativo de medidas repetidas com 27 atletas e 456 observações do BRUMS-24 em sete dias (duas coletas/dia: pré e pós-treino). Aplicaram-se estatística descritiva exploratória, comparações pré→pós e Dia 1→Dia 7 (Wilcoxon; variação percentual, dz de Cohen com IC95%, magnitude), correlação de Spearman e Índice de Mudança Confiável (RCI) individual. </w:t>
      </w:r>
      <w:r>
        <w:rPr>
          <w:b/>
          <w:sz w:val="24"/>
        </w:rPr>
        <w:t xml:space="preserve">Resultados: </w:t>
      </w:r>
      <w:r>
        <w:rPr>
          <w:b w:val="0"/>
          <w:sz w:val="24"/>
        </w:rPr>
        <w:t xml:space="preserve">a deterioração concentrou-se no eixo energia–fadiga — vigor pré→pós −19% (dz = -0,74) e Dia 1→Dia 7 com efeito grande (dz = -0,95; p = 0,001); fadiga pré→pós +34% (dz = 0,60). No nível individual, 24% dos atletas reduziram o vigor e 52% aumentaram a fadiga de forma confiável. As subescalas negativas mantiveram-se próximas do piso, com acoplamento à fadiga fraco no dia de maior vigor (D1) e forte no de maior fadiga (D7: depressão ρ = +0,75; raiva ρ = +0,64). O perfil iceberg caiu de 40% para 17% e o de fadiga subiu de 2% para 28%. </w:t>
      </w:r>
      <w:r>
        <w:rPr>
          <w:b/>
          <w:sz w:val="24"/>
        </w:rPr>
        <w:t xml:space="preserve">Conclusão: </w:t>
      </w:r>
      <w:r>
        <w:rPr>
          <w:b w:val="0"/>
          <w:sz w:val="24"/>
        </w:rPr>
        <w:t>o humor migra da prontidão para a fadiga funcional; a fadiga é a subescala mais sensível e o afeto negativo consolida-se com a fadiga apenas sob carga acumulada, o que fundamenta um monitoramento individualizado.</w:t>
      </w:r>
    </w:p>
    <w:p>
      <w:pPr>
        <w:spacing w:line="360" w:lineRule="auto" w:after="160"/>
        <w:jc w:val="both"/>
      </w:pPr>
      <w:r>
        <w:rPr>
          <w:b w:val="0"/>
          <w:sz w:val="22"/>
        </w:rPr>
        <w:t>Palavras-chave: estados de humor; BRUMS; handebol; monitoramento; fadiga; atletas de elite.</w:t>
      </w:r>
    </w:p>
    <w:p>
      <w:pPr>
        <w:spacing w:before="200" w:after="80" w:line="360" w:lineRule="auto"/>
      </w:pPr>
      <w:r>
        <w:rPr>
          <w:b/>
          <w:sz w:val="24"/>
        </w:rPr>
        <w:t>1 INTRODUÇÃO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O monitoramento dos estados psicológicos consolidou-se como componente essencial da gestão da carga de treino no esporte de rendimento. Escalas de autorrelato são práticas, econômicas e sensíveis: em revisão sistemática, as medidas subjetivas de bem-estar rastrearam as cargas aguda e crônica com sensibilidade e consistência superiores às de marcadores objetivos, respondendo à intensificação do treino e à redução de carga de modo coerente (SAW; MAIN; GASTIN, 2016). Por isso, painéis de consenso recomendam o uso rotineiro de instrumentos subjetivos para monitorar a fadiga e orientar decisões de treino e recuperação em modalidades esportivas (THORPE et al., 2017; KELLMANN et al., 2018).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Entre esses instrumentos, a Brunel Mood Scale (BRUMS) — versão abreviada e adaptada do Profile of Mood States — é uma das mais utilizadas na ciência do esporte. Composta por 24 adjetivos organizados em seis subescalas (tensão, depressão, raiva, vigor, fadiga e confusão), foi desenvolvida para aplicação rápida e repetida e possui propriedades psicométricas sólidas, com sucessivas validações transculturais que sustentam seu uso em diferentes populações e idiomas (TERRY et al., 1999; TERRY; LANE; FOGARTY, 2003; ROHLFS et al., 2008; LEW et al., 2023). Sua leitura pode ir além dos escores isolados: Morgan (1985) descreveu o “perfil iceberg” — vigor elevado sobre dimensões negativas baixas — como assinatura de prontidão e saúde mental positiva, e abordagens recentes formalizaram seis perfis prototípicos de humor (iceberg, Everest invertido, iceberg invertido, submerso, barbatana de tubarão e superfície), hoje amplamente empregados no rastreamento do estado psicológico e da prontidão de atletas de elite (PARSONS-SMITH; TERRY; MACHIN, 2017; TERRY et al., 2021; TAN et al., 2024). O valor aplicado do constructo é reforçado por metanálise que confirma a associação entre a perturbação do humor e o desempenho esportivo (LOCHBAUM et al., 2021).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O handebol de quadra é uma modalidade coletiva de caráter marcadamente intermitente e de alta intensidade. Ao longo da partida, esforços máximos e explosivos — sprints curtos, saltos, arremessos, mudanças de direção e contatos físicos — alternam-se, de forma imprevisível, com períodos de recuperação incompleta, exigindo simultaneamente potência anaeróbia, capacidade aeróbia intermitente e elevada tolerância à fadiga (KARCHER; BUCHHEIT, 2014; WAGNER et al., 2014). As demandas físicas variam com a posição tática e a fadiga já foi documentada pela queda do volume de corrida em alta intensidade ao longo do jogo (MICHALSIK; MADSEN; AAGAARD, 2013). Esse perfil de esforço eleva a carga interna nos microciclos de acúmulo e repercute diretamente no estado afetivo dos atletas: em handebolistas de elite, o humor e o estresse associam-se a indicadores de sobrecarga fisiológica e psicossomática (RATZ-SULYOK et al., 2026). O caráter intermitente e de contato do handebol, somado à variabilidade posicional, torna o acompanhamento subjetivo do humor particularmente informativo para a individualização da carga.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 resposta afetiva à carga, contudo, é dinâmica: reduções de carga diminuem a fadiga percebida e melhoram o desempenho, ao passo que microciclos de acúmulo tendem a rebaixar o vigor e a elevar a fadiga. A última semana de pré-temporada concentra a carga que antecede a competição e constitui, portanto, uma janela crítica para descrever como cada uma das seis subescalas do BRUMS se comporta ao longo dos dias e dentro de cada dia de treino, como as dimensões se relacionam entre si — em particular, se e quando o afeto negativo (depressão, raiva, confusão) passa a acompanhar a fadiga — e em que medida a resposta média do grupo se traduz em mudanças confiáveis no nível individual. Apesar da ampla adoção da BRUMS, faltam descrições detalhadas, subescala a subescala e do grupo ao sujeito, do comportamento do humor em um microciclo pré-competitivo de handebol de elite. Endereçar essa lacuna, com estatística comparativa robusta (variação percentual, intervalos de confiança, tamanho de efeito e mudança confiável individual), fornece à comissão técnica informação diretamente acionável e contribui para a literatura de monitoramento em modalidades coletivas intermitentes.</w:t>
      </w:r>
    </w:p>
    <w:p>
      <w:pPr>
        <w:spacing w:before="200" w:after="80" w:line="360" w:lineRule="auto"/>
      </w:pPr>
      <w:r>
        <w:rPr>
          <w:b/>
          <w:sz w:val="24"/>
        </w:rPr>
        <w:t>2 OBJETIVO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Objetivo geral: avaliar o perfil de humor de atletas de handebol de elite na última semana de pré-temporada, caracterizando e comparando o comportamento das seis subescalas do BRUMS e da Perturbação Total do Humor, do nível do grupo ao nível do sujeito.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Objetivos específicos: (i) caracterizar exploratoriamente cada subescala (tendência central, dispersão, intervalo de confiança e coeficiente de variação); (ii) comparar, no grupo, a resposta aguda pré→pós e a variação do Dia 1 ao Dia 7 de cada subescala, com variação percentual, tamanho de efeito e magnitude; (iii) analisar a estrutura de correlação entre as subescalas, com ênfase nos dias de maior vigor e de maior fadiga; (iv) quantificar, no nível do sujeito, a proporção de atletas com mudança confiável (RCI) em cada subescala; e (v) classificar a evolução dos perfis de humor.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Hipóteses: (H1) a deterioração concentra-se no eixo energia–fadiga (vigor ↓, fadiga ↑) com magnitude média a grande, enquanto as subescalas negativas de valência não fadiga permanecem estáveis por efeito de piso; (H2) o perfil de humor migra do iceberg para o perfil de fadiga (barbatana de tubarão); (H3) o afeto negativo acopla-se à fadiga somente sob carga acumulada (correlação maior no dia de maior fadiga do que no de maior vigor); e (H4) a resposta é heterogênea entre atletas, exigindo interpretação individualizada.</w:t>
      </w:r>
    </w:p>
    <w:p>
      <w:pPr>
        <w:spacing w:before="200" w:after="80" w:line="360" w:lineRule="auto"/>
      </w:pPr>
      <w:r>
        <w:rPr>
          <w:b/>
          <w:sz w:val="24"/>
        </w:rPr>
        <w:t>3 MÉTODO</w:t>
      </w:r>
    </w:p>
    <w:p>
      <w:pPr>
        <w:spacing w:before="200" w:after="80" w:line="360" w:lineRule="auto"/>
      </w:pPr>
      <w:r>
        <w:rPr>
          <w:b/>
          <w:sz w:val="24"/>
        </w:rPr>
        <w:t>3.1 Delineamento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Estudo descritivo-comparativo, longitudinal e observacional, de medidas repetidas intraindividuais, conduzido em condições ecológicas de treinamento durante o microciclo pré-competitivo (21–27/04/2024).</w:t>
      </w:r>
    </w:p>
    <w:p>
      <w:pPr>
        <w:spacing w:before="200" w:after="80" w:line="360" w:lineRule="auto"/>
      </w:pPr>
      <w:r>
        <w:rPr>
          <w:b/>
          <w:sz w:val="24"/>
        </w:rPr>
        <w:t>3.2 Amostra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Participaram 27 atletas de handebol do sexo masculino de nível competitivo, distribuídos nas posições da modalidade (Armador (11), Ala (9), Pivô (4), Goleiro (3)). A caracterização sociodemográfica e antropométrica consta na Tabela 1.</w:t>
      </w:r>
    </w:p>
    <w:p>
      <w:pPr>
        <w:spacing w:before="160" w:after="40"/>
      </w:pPr>
      <w:r>
        <w:rPr>
          <w:sz w:val="22"/>
        </w:rPr>
        <w:t>Tabela 1 – Caracterização sociodemográfica e antropométrica da amostra (n = 27).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Variável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Média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DP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IC95%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Mín–Máx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Idade (anos)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22,0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3,8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20,5–23,5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17,0–38,0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Estatura (cm)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182,5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6,5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179,8–185,2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170,8–200,0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Massa corporal (kg)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85,8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15,7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79,3–92,3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58,8–132,6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Percentual de gordura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11,6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5,3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9,4–13,8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5,0–25,0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Experiência na modalidade (anos)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10,5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3,8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9,0–12,0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6,0–23,0</w:t>
            </w:r>
          </w:p>
        </w:tc>
      </w:tr>
    </w:tbl>
    <w:p>
      <w:pPr>
        <w:spacing w:after="120"/>
      </w:pPr>
      <w:r>
        <w:rPr>
          <w:sz w:val="18"/>
        </w:rPr>
        <w:t>Fonte: dados da pesquisa (2026).</w:t>
      </w:r>
    </w:p>
    <w:p>
      <w:pPr>
        <w:spacing w:before="200" w:after="80" w:line="360" w:lineRule="auto"/>
      </w:pPr>
      <w:r>
        <w:rPr>
          <w:b/>
          <w:sz w:val="24"/>
        </w:rPr>
        <w:t>3.3 Instrumento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O humor foi avaliado pela BRUMS-24: 24 adjetivos em escala de 0 (“nada”) a 4 (“extremamente”), agrupados em seis subescalas de 0 a 16 pontos (tensão, depressão, raiva, vigor, fadiga e confusão). A Perturbação Total do Humor (PTH) resume o perfil: PTH = tensão + depressão + raiva + fadiga + confusão − vigor.</w:t>
      </w:r>
    </w:p>
    <w:p>
      <w:pPr>
        <w:spacing w:before="200" w:after="80" w:line="360" w:lineRule="auto"/>
      </w:pPr>
      <w:r>
        <w:rPr>
          <w:b/>
          <w:sz w:val="24"/>
        </w:rPr>
        <w:t>3.4 Procedimentos e framework das coletas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O BRUMS foi autoaplicado por formulário eletrônico com carimbo de data/hora, duas vezes por dia de treino — a primeira resposta tomada como pré e a última como pós —, ao longo de sete dias, totalizando 456 observações válidas. A Figura 1 sintetiza o framework das coletas.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3960000" cy="3816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b2_framework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381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1 – Framework das coletas: da amostra e do microciclo às observações do BRUMS, às subescalas e à classificação de perfis.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before="200" w:after="80" w:line="360" w:lineRule="auto"/>
      </w:pPr>
      <w:r>
        <w:rPr>
          <w:b/>
          <w:sz w:val="24"/>
        </w:rPr>
        <w:t>3.5 Análise estatística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 normalidade das distribuições foi verificada pelo teste de Shapiro-Wilk e pela inspeção de histogramas e diagramas de caixa. Como todas as subescalas violaram a normalidade (Shapiro-Wilk p &lt; 0,001) e as dimensões negativas apresentaram forte assimetria positiva e efeito de piso, adotaram-se procedimentos não paramétricos. Reportou-se estatística descritiva (média, mediana, desvio-padrão, IC95%, coeficiente de variação e amplitude), no geral, por dia e nos momentos pré e pós. A consistência das medidas repetidas foi estimada pelo coeficiente de correlação intraclasse (ICC, modelo de duas vias, efeitos aleatórios; ICC(2,1) para uma medida e ICC(2,k) para a média da semana), interpretado como pobre (&lt; 0,50), moderado (0,50–0,75), bom (0,75–0,90) ou excelente (&gt; 0,90). As comparações pré→pós e Dia 1→Dia 7 empregaram o teste de Wilcoxon pareado, com variação absoluta e percentual, tamanho de efeito pareado (dz de Cohen) com IC95% e classificação de magnitude (trivial &lt; 0,2; pequeno &lt; 0,5; médio &lt; 0,8; grande ≥ 0,8). A associação entre subescalas foi examinada por correlação de Spearman (ρ), com valores de p, no nível entre atletas e nos dias de maior vigor e de maior fadiga. No nível do sujeito, calculou-se o Índice de Mudança Confiável (RCI = (D7 − D1)/EP_dif; EP_dif = DP_D1·√[2(1 − α)]; α = fidedignidade interna), com mudança confiável quando |RCI| ≥ 1,96 (JACOBSON; TRUAX, 1991). Cada observação foi classificada nos seis perfis de humor por proximidade aos protótipos em escores padronizados. Adotou-se α = 0,05.</w:t>
      </w:r>
    </w:p>
    <w:p>
      <w:pPr>
        <w:spacing w:before="200" w:after="80" w:line="360" w:lineRule="auto"/>
      </w:pPr>
      <w:r>
        <w:rPr>
          <w:b/>
          <w:sz w:val="24"/>
        </w:rPr>
        <w:t>4 RESULTADOS</w:t>
      </w:r>
    </w:p>
    <w:p>
      <w:pPr>
        <w:spacing w:before="200" w:after="80" w:line="360" w:lineRule="auto"/>
      </w:pPr>
      <w:r>
        <w:rPr>
          <w:b/>
          <w:sz w:val="24"/>
        </w:rPr>
        <w:t>4.1 Análise descritiva exploratória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 Tabela 2 apresenta a descritiva geral das seis subescalas e da PTH. As dimensões negativas de valência não fadiga (tensão, depressão, raiva e confusão) situam-se próximas do piso, com medianas baixas e coeficientes de variação elevados, enquanto o vigor e a fadiga concentram a média e a dispersão informativas — é no eixo energia–fadiga que reside a variabilidade útil do microciclo. As trajetórias diárias, com bandas de confiança de 95%, constam na Figura 4.</w:t>
      </w:r>
    </w:p>
    <w:p>
      <w:pPr>
        <w:spacing w:before="160" w:after="40"/>
      </w:pPr>
      <w:r>
        <w:rPr>
          <w:sz w:val="22"/>
        </w:rPr>
        <w:t>Tabela 2 – Estatística descritiva geral das subescalas do BRUMS e da PTH (456 observações).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Subescala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Média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Mediana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DP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IC95%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CV (%)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Mín–Máx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Vigor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5,70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6,0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3,12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5,41–5,98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55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0–15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Fadiga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5,64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5,0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3,89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5,29–6,00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69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0–16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Perturbação Total do Humor (PTH)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4,39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2,0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9,64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3,51–5,28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219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-12–52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Tensão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1,39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1,0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1,84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1,22–1,56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132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0–8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Depressão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1,00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0,0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2,31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0,79–1,21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231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0–16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Raiva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1,60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0,0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2,73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1,35–1,85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170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0–15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Confusão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0,45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0,0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1,19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0,34–0,56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263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0–9</w:t>
            </w:r>
          </w:p>
        </w:tc>
      </w:tr>
    </w:tbl>
    <w:p>
      <w:pPr>
        <w:spacing w:after="120"/>
      </w:pPr>
      <w:r>
        <w:rPr>
          <w:sz w:val="18"/>
        </w:rPr>
        <w:t>Fonte: dados da pesquisa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Os histogramas (Figura 2) evidenciam distribuições assimétricas: o vigor aproxima-se da simetria e a fadiga tem leve assimetria à direita, ao passo que as subescalas negativas concentram-se no piso, com forte assimetria positiva. O teste de Shapiro-Wilk rejeitou a normalidade em todas as subescalas (p &lt; 0,001; Tabela 3), justificando a adoção de estatística não paramétrica. A consistência das medidas repetidas ao longo da semana (ICC) foi moderada a boa para a maioria das subescalas, sendo mais baixa para a raiva e a confusão — as dimensões mais reativas dia a dia —; a média semanal, contudo, mostrou fidedignidade elevada (ICC(2,k) ≥ 0,81) em todas.</w:t>
      </w:r>
    </w:p>
    <w:p>
      <w:pPr>
        <w:spacing w:before="160" w:after="40"/>
      </w:pPr>
      <w:r>
        <w:rPr>
          <w:sz w:val="22"/>
        </w:rPr>
        <w:t>Tabela 3 – Normalidade (Shapiro-Wilk), assimetria e consistência das medidas repetidas (ICC) por subescala.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Subescala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W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p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Assimetria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ICC(2,1)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ICC(2,k)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Consistência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Vigor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0,974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&lt; 0,001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+0,03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0,57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0,90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moderada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Fadiga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0,949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&lt; 0,001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+0,59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0,69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0,94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moderada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Tensão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0,766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&lt; 0,001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+1,43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0,67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0,93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moderada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Depressão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0,489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&lt; 0,001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+3,63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0,79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0,96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boa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Raiva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0,657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&lt; 0,001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+2,06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0,37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0,81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pobre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Confusão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0,440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&lt; 0,001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+3,73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0,50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0,87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pobre</w:t>
            </w:r>
          </w:p>
        </w:tc>
      </w:tr>
    </w:tbl>
    <w:p>
      <w:pPr>
        <w:spacing w:after="120"/>
      </w:pPr>
      <w:r>
        <w:rPr>
          <w:sz w:val="18"/>
        </w:rPr>
        <w:t>Fonte: dados da pesquisa (2026).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580000" cy="25296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b3_his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529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2 – Distribuição de frequências das seis subescalas do BRUMS (linha tracejada = mediana).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580000" cy="271657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b3_box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7165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3 – Diagramas de caixa das seis subescalas por dia (mediana, quartis e valores atípicos).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580000" cy="2232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b2_traj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23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4 – Trajetória das subescalas do BRUMS ao longo da semana (médias diárias; áreas sombreadas = IC95%).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before="200" w:after="80" w:line="360" w:lineRule="auto"/>
      </w:pPr>
      <w:r>
        <w:rPr>
          <w:b/>
          <w:sz w:val="24"/>
        </w:rPr>
        <w:t>4.2 Comparações no nível do grupo por subescala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As Tabelas 4 e 5 reúnem, para todas as subescalas, a resposta aguda pré→pós e a variação Dia 1 → Dia 7, com variação percentual, tamanho de efeito (dz) com IC95%, significância e magnitude. A seguir, cada subescala é interpretada em ordem lógica, iniciando pelo eixo energia–fadiga.</w:t>
      </w:r>
    </w:p>
    <w:p>
      <w:pPr>
        <w:spacing w:before="160" w:after="40"/>
      </w:pPr>
      <w:r>
        <w:rPr>
          <w:sz w:val="22"/>
        </w:rPr>
        <w:t>Tabela 4 – Resposta aguda pré → pós agregada na semana, por subescala.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176"/>
        <w:gridCol w:w="1176"/>
        <w:gridCol w:w="1176"/>
        <w:gridCol w:w="1176"/>
        <w:gridCol w:w="1176"/>
        <w:gridCol w:w="1176"/>
        <w:gridCol w:w="1176"/>
        <w:gridCol w:w="1176"/>
      </w:tblGrid>
      <w:tr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Subescala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Pré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Pós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Δ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Δ%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dz [IC95%]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p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Magnitude</w:t>
            </w:r>
          </w:p>
        </w:tc>
      </w:tr>
      <w:tr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Vigor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6,22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5,04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-1,18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-19%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-0,74 [-1,81, -0,55]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0,001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médio</w:t>
            </w:r>
          </w:p>
        </w:tc>
      </w:tr>
      <w:tr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Fadiga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4,50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6,03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+1,52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+34%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+0,60 [0,52, 2,53]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0,005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médio</w:t>
            </w:r>
          </w:p>
        </w:tc>
      </w:tr>
      <w:tr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Perturbação Total do Humor (PTH)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2,57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5,95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+3,38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+131%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+0,66 [1,35, 5,41]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0,005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médio</w:t>
            </w:r>
          </w:p>
        </w:tc>
      </w:tr>
      <w:tr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Tensão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1,44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1,60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+0,16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+11%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+0,21 [-0,15, 0,46]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0,420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pequeno</w:t>
            </w:r>
          </w:p>
        </w:tc>
      </w:tr>
      <w:tr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Depressão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0,96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1,31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+0,36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+37%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+0,39 [-0,01, 0,72]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0,085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pequeno</w:t>
            </w:r>
          </w:p>
        </w:tc>
      </w:tr>
      <w:tr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Raiva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1,38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1,58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+0,20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+15%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+0,14 [-0,37, 0,77]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0,558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trivial</w:t>
            </w:r>
          </w:p>
        </w:tc>
      </w:tr>
      <w:tr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Confusão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0,51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0,47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-0,04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-8%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-0,09 [-0,23, 0,15]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0,586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trivial</w:t>
            </w:r>
          </w:p>
        </w:tc>
      </w:tr>
    </w:tbl>
    <w:p>
      <w:pPr>
        <w:spacing w:after="120"/>
      </w:pPr>
      <w:r>
        <w:rPr>
          <w:sz w:val="18"/>
        </w:rPr>
        <w:t>Fonte: dados da pesquisa (2026).</w:t>
      </w:r>
    </w:p>
    <w:p>
      <w:pPr>
        <w:spacing w:before="160" w:after="40"/>
      </w:pPr>
      <w:r>
        <w:rPr>
          <w:sz w:val="22"/>
        </w:rPr>
        <w:t>Tabela 5 – Comparação Dia 1 → Dia 7, por subescala.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176"/>
        <w:gridCol w:w="1176"/>
        <w:gridCol w:w="1176"/>
        <w:gridCol w:w="1176"/>
        <w:gridCol w:w="1176"/>
        <w:gridCol w:w="1176"/>
        <w:gridCol w:w="1176"/>
        <w:gridCol w:w="1176"/>
      </w:tblGrid>
      <w:tr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Subescala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Dia 1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Dia 7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Δ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Δ%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dz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p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Magnitude</w:t>
            </w:r>
          </w:p>
        </w:tc>
      </w:tr>
      <w:tr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Vigor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7,64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4,49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-3,15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-41%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-0,95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0,001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grande</w:t>
            </w:r>
          </w:p>
        </w:tc>
      </w:tr>
      <w:tr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Fadiga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4,26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7,46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+3,19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+75%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+0,72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0,004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médio</w:t>
            </w:r>
          </w:p>
        </w:tc>
      </w:tr>
      <w:tr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Perturbação Total do Humor (PTH)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3,36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8,28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+4,92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+147%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+0,41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0,104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pequeno</w:t>
            </w:r>
          </w:p>
        </w:tc>
      </w:tr>
      <w:tr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Tensão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2,14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0,94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-1,20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-56%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-0,59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0,011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médio</w:t>
            </w:r>
          </w:p>
        </w:tc>
      </w:tr>
      <w:tr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Depressão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1,02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1,27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+0,25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+24%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+0,10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0,752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trivial</w:t>
            </w:r>
          </w:p>
        </w:tc>
      </w:tr>
      <w:tr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Raiva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2,48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2,59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+0,12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+5%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+0,02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0,802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trivial</w:t>
            </w:r>
          </w:p>
        </w:tc>
      </w:tr>
      <w:tr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Confusão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1,10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0,51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-0,58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-53%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-0,46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0,068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pequeno</w:t>
            </w:r>
          </w:p>
        </w:tc>
      </w:tr>
    </w:tbl>
    <w:p>
      <w:pPr>
        <w:spacing w:after="120"/>
      </w:pPr>
      <w:r>
        <w:rPr>
          <w:sz w:val="18"/>
        </w:rPr>
        <w:t>Fonte: dados da pesquisa (2026).</w:t>
      </w:r>
    </w:p>
    <w:p>
      <w:pPr>
        <w:spacing w:before="200" w:after="80" w:line="360" w:lineRule="auto"/>
      </w:pPr>
      <w:r>
        <w:rPr>
          <w:b/>
          <w:sz w:val="24"/>
        </w:rPr>
        <w:t>4.2.1 Vigor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O vigor foi a subescala de maior média (5,70 ± 3,12) e apresentou a resposta mais expressiva: caiu 19% do pré ao pós (Δ = -1,18; dz = -0,74; p = 0,001; magnitude média) e recuou do Dia 1 ao Dia 7 com efeito grande (Δ = -3,15; -41%; dz = -0,95; p = 0,001). É a dimensão que melhor sinaliza a deterioração da prontidão ao longo do microciclo.</w:t>
      </w:r>
    </w:p>
    <w:p>
      <w:pPr>
        <w:spacing w:before="200" w:after="80" w:line="360" w:lineRule="auto"/>
      </w:pPr>
      <w:r>
        <w:rPr>
          <w:b/>
          <w:sz w:val="24"/>
        </w:rPr>
        <w:t>4.2.2 Fadiga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 fadiga elevou-se de forma consistente: +34% do pré ao pós (Δ = +1,52; dz = 0,60; p = 0,005) e +75% do Dia 1 ao Dia 7 (Δ = +3,19; dz = 0,72; p = 0,004), ambas de magnitude média. Junto ao vigor, compõe o eixo energia–fadiga onde se concentra a resposta ao acúmulo de carga.</w:t>
      </w:r>
    </w:p>
    <w:p>
      <w:pPr>
        <w:spacing w:before="200" w:after="80" w:line="360" w:lineRule="auto"/>
      </w:pPr>
      <w:r>
        <w:rPr>
          <w:b/>
          <w:sz w:val="24"/>
        </w:rPr>
        <w:t>4.2.3 Perturbação Total do Humor (PTH)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 PTH, síntese do perfil, aumentou 131% do pré ao pós (Δ = +3,38; dz = 0,66; p = 0,005) e +147% do Dia 1 ao Dia 7 (dz = 0,41; p = 0,104), refletindo sobretudo o movimento do eixo energia–fadiga.</w:t>
      </w:r>
    </w:p>
    <w:p>
      <w:pPr>
        <w:spacing w:before="200" w:after="80" w:line="360" w:lineRule="auto"/>
      </w:pPr>
      <w:r>
        <w:rPr>
          <w:b/>
          <w:sz w:val="24"/>
        </w:rPr>
        <w:t>4.2.4 Tensão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 tensão manteve-se baixa e sem resposta aguda relevante (pré→pós dz = +0,21; p = 0,420), mas decresceu do Dia 1 ao Dia 7 (Δ = -1,20; dz = -0,59; p = 0,011, magnitude média) — uma acomodação da apreensão inicial do microciclo, sendo mais alta no início da semana.</w:t>
      </w:r>
    </w:p>
    <w:p>
      <w:pPr>
        <w:spacing w:before="200" w:after="80" w:line="360" w:lineRule="auto"/>
      </w:pPr>
      <w:r>
        <w:rPr>
          <w:b/>
          <w:sz w:val="24"/>
        </w:rPr>
        <w:t>4.2.5 Depressão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 depressão operou próxima do piso, com leve elevação aguda (pré→pós +37%; dz = +0,39; p = 0,085) e pico intermediário no Dia 4 (1,35), sugerindo um vale afetivo no meio da semana, sem instalar quadro clínico.</w:t>
      </w:r>
    </w:p>
    <w:p>
      <w:pPr>
        <w:spacing w:before="200" w:after="80" w:line="360" w:lineRule="auto"/>
      </w:pPr>
      <w:r>
        <w:rPr>
          <w:b/>
          <w:sz w:val="24"/>
        </w:rPr>
        <w:t>4.2.6 Raiva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 raiva foi a negativa mais reativa e atingiu o máximo no dia mais fadigado (pico no Dia 7 = 2,39), acompanhando o acúmulo de carga, embora sem resposta aguda intra-dia significativa (pré→pós p = 0,558).</w:t>
      </w:r>
    </w:p>
    <w:p>
      <w:pPr>
        <w:spacing w:before="200" w:after="80" w:line="360" w:lineRule="auto"/>
      </w:pPr>
      <w:r>
        <w:rPr>
          <w:b/>
          <w:sz w:val="24"/>
        </w:rPr>
        <w:t>4.2.7 Confusão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 confusão foi a subescala de menor expressão (média 0,45), mais alta no início e decrescente ao longo da semana, atingindo o mínimo (0,15) — sem resposta aguda relevante (pré→pós dz = -0,09).</w:t>
      </w:r>
    </w:p>
    <w:p>
      <w:pPr>
        <w:spacing w:before="200" w:after="80" w:line="360" w:lineRule="auto"/>
      </w:pPr>
      <w:r>
        <w:rPr>
          <w:b/>
          <w:sz w:val="24"/>
        </w:rPr>
        <w:t>4.3 Estrutura de correlação e ênfase nos dias de maior vigor e de maior fadiga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As correlações de Spearman entre as subescalas (nível entre atletas) revelam um agrupamento coeso de afeto negativo (Tabela 6): a depressão associa-se à raiva (ρ = +0,52; p = 0,005) e à confusão (ρ = +0,51; p = 0,006), a tensão à confusão (ρ = +0,42; p = 0,028), e — de forma relevante — a fadiga associa-se à depressão (ρ = +0,44; p = 0,021) e à raiva (ρ = +0,42; p = 0,027). O vigor não se correlacionou significativamente com nenhuma subescala negativa, confirmando a relativa independência do polo energético.</w:t>
      </w:r>
    </w:p>
    <w:p>
      <w:pPr>
        <w:spacing w:before="160" w:after="40"/>
      </w:pPr>
      <w:r>
        <w:rPr>
          <w:sz w:val="22"/>
        </w:rPr>
        <w:t>Tabela 6 – Correlação de Spearman entre as subescalas do BRUMS (nível entre atletas, n = 27): coeficiente (ρ) e valor de p.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Par de subescalas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ρ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p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Vigor × Fadiga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-0,38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0,052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Vigor × Tensão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+0,17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0,403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Vigor × Depressão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-0,11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0,593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Vigor × Raiva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-0,23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0,240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Vigor × Confusão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-0,09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0,656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Fadiga × Tensão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-0,14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0,496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Fadiga × Depressão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+0,44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0,021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Fadiga × Raiva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+0,42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0,027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Fadiga × Confusão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+0,12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0,563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Tensão × Depressão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+0,35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0,070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Tensão × Raiva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+0,16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0,437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Tensão × Confusão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+0,42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0,028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Depressão × Raiva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+0,52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0,005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Depressão × Confusão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+0,51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0,006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Raiva × Confusão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+0,33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0,091</w:t>
            </w:r>
          </w:p>
        </w:tc>
      </w:tr>
    </w:tbl>
    <w:p>
      <w:pPr>
        <w:spacing w:after="120"/>
      </w:pPr>
      <w:r>
        <w:rPr>
          <w:sz w:val="18"/>
        </w:rPr>
        <w:t>Fonte: dados da pesquisa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O contraste entre os dias extremos é o achado mais expressivo (Tabela 7). No dia de maior vigor (Dia 1, grupo descansado), o afeto negativo é praticamente independente da fadiga (depressão ρ = +0,20, p = 0,306; raiva ρ = +0,14, p = 0,498). No dia de maior fadiga (Dia 7), o acoplamento torna-se forte e significativo (depressão ρ = +0,75, p = &lt; 0,001; raiva ρ = +0,64, p = 0,002), com tendência à associação negativa com o vigor. Ou seja, quando o grupo está fresco, quem está mais irritado ou abatido não é necessariamente o mais cansado; sob carga acumulada, as dimensões negativas consolidam-se com a fadiga e o perfil de humor “fecha”.</w:t>
      </w:r>
    </w:p>
    <w:p>
      <w:pPr>
        <w:spacing w:before="160" w:after="40"/>
      </w:pPr>
      <w:r>
        <w:rPr>
          <w:sz w:val="22"/>
        </w:rPr>
        <w:t>Tabela 7 – Correlação (ρ; p) das subescalas negativas com a fadiga e o vigor no dia de maior vigor (D1) e no de maior fadiga (D7).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Subescala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ρ×Fadiga D1 (p)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ρ×Fadiga D7 (p)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ρ×Vigor D1 (p)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ρ×Vigor D7 (p)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Depressão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+0,20 (0,306)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+0,75 (&lt; 0,001)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-0,13 (0,512)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-0,28 (0,220)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Raiva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+0,14 (0,498)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+0,64 (0,002)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+0,20 (0,317)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-0,29 (0,195)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Confusão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-0,04 (0,849)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+0,37 (0,096)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-0,02 (0,927)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+0,06 (0,788)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Tensão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+0,43 (0,026)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-0,09 (0,708)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+0,18 (0,378)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+0,38 (0,090)</w:t>
            </w:r>
          </w:p>
        </w:tc>
      </w:tr>
    </w:tbl>
    <w:p>
      <w:pPr>
        <w:spacing w:after="120"/>
      </w:pPr>
      <w:r>
        <w:rPr>
          <w:sz w:val="18"/>
        </w:rPr>
        <w:t>Fonte: dados da pesquisa (2026).</w:t>
      </w:r>
    </w:p>
    <w:p>
      <w:pPr>
        <w:spacing w:before="200" w:after="80" w:line="360" w:lineRule="auto"/>
      </w:pPr>
      <w:r>
        <w:rPr>
          <w:b/>
          <w:sz w:val="24"/>
        </w:rPr>
        <w:t>4.4 Comportamento intra-dia (pré → pós por dia)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O padrão intra-dia repete-se com regularidade: em todos os dias de treino o vigor cai e a fadiga e a PTH sobem do pré para o pós, indicando um choque agudo consistente a cada sessão, enquanto as subescalas negativas variam pouco dentro do dia (Figura 5).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580000" cy="178846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b2_intraday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7884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5 – Escores pré e pós-treino por dia (vigor, fadiga, PTH) e variação intra-dia das subescalas negativas.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before="200" w:after="80" w:line="360" w:lineRule="auto"/>
      </w:pPr>
      <w:r>
        <w:rPr>
          <w:b/>
          <w:sz w:val="24"/>
        </w:rPr>
        <w:t>4.5 Análise no nível do sujeito por subescala (mudança confiável)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No nível individual, a mudança confiável (RCI, Dia 1 → Dia 7) distribui-se de modo desigual entre as subescalas (Tabela 8; Figura 6). A fadiga é a dimensão em que a maioria dos atletas deteriora de forma confiável (11 de 21; 52%), seguida do vigor (24% de queda confiável). As subescalas negativas de valência não fadiga não pioram no nível individual — a tensão e a confusão, inclusive, exibem apenas melhoras confiáveis (acomodação), e a depressão e a raiva apresentam proporções equilibradas de piora e melhora. Confirma-se, no sujeito, que a deterioração real do microciclo se concentra no eixo energia–fadiga.</w:t>
      </w:r>
    </w:p>
    <w:p>
      <w:pPr>
        <w:spacing w:before="160" w:after="40"/>
      </w:pPr>
      <w:r>
        <w:rPr>
          <w:sz w:val="22"/>
        </w:rPr>
        <w:t>Tabela 8 – Mudança confiável individual (RCI, Dia 1 → Dia 7) por subescala: fidedignidade, erro-padrão da diferença e número de atletas (n = 21).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Subescala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α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EP_dif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n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Piora confiável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Estável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Melhora confiável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Vigor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0,68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2,68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21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 (24%)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16 (76%)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 (0%)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Fadiga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0,80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1,91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21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11 (52%)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9 (43%)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 (5%)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Depressão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0,85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0,96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21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3 (14%)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15 (71%)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3 (14%)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Raiva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0,87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1,57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21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 (19%)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13 (62%)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 (19%)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Tensão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0,43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2,35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21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 (0%)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19 (90%)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 (10%)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Confusão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0,65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1,24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21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 (0%)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18 (86%)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3 (14%)</w:t>
            </w:r>
          </w:p>
        </w:tc>
      </w:tr>
    </w:tbl>
    <w:p>
      <w:pPr>
        <w:spacing w:after="120"/>
      </w:pPr>
      <w:r>
        <w:rPr>
          <w:sz w:val="18"/>
        </w:rPr>
        <w:t>Fonte: dados da pesquisa (2026).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4860000" cy="2093538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b2_rci6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20935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6 – Proporção de atletas com mudança confiável (RCI) por subescala, do Dia 1 ao Dia 7.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before="200" w:after="80" w:line="360" w:lineRule="auto"/>
      </w:pPr>
      <w:r>
        <w:rPr>
          <w:b/>
          <w:sz w:val="24"/>
        </w:rPr>
        <w:t>4.6 Classificação nos perfis de humor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Na linha de base (Dia 1) predomina o perfil iceberg (40%), marca de prontidão; no último dia (Dia 7) o perfil de fadiga (“barbatana de tubarão”) torna-se o mais frequente (28%) e o iceberg cai para 17% (Figura 7; Tabela 9). Essa migração — do iceberg para a assinatura de fadiga funcional, sem instalação relevante de perfis de risco (submerso, iceberg invertido) — é a leitura integrada da semana.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580000" cy="2832923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b2_profile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8329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7 – Distribuição (%) dos seis perfis de humor por recorte: linha de base (D1), semana, último dia (D7), pré e pós.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before="160" w:after="40"/>
      </w:pPr>
      <w:r>
        <w:rPr>
          <w:sz w:val="22"/>
        </w:rPr>
        <w:t>Tabela 9 – Distribuição (%) dos perfis de humor de Terry por recorte.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567"/>
        <w:gridCol w:w="1567"/>
        <w:gridCol w:w="1567"/>
        <w:gridCol w:w="1567"/>
        <w:gridCol w:w="1567"/>
        <w:gridCol w:w="1567"/>
      </w:tblGrid>
      <w:tr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Perfil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D1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Semana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D7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Pré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Pós</w:t>
            </w:r>
          </w:p>
        </w:tc>
      </w:tr>
      <w:tr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Iceberg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40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32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17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37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24</w:t>
            </w:r>
          </w:p>
        </w:tc>
      </w:tr>
      <w:tr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Everest invertido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14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9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9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8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12</w:t>
            </w:r>
          </w:p>
        </w:tc>
      </w:tr>
      <w:tr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Iceberg invertido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10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9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7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9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8</w:t>
            </w:r>
          </w:p>
        </w:tc>
      </w:tr>
      <w:tr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Submerso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7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10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11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13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12</w:t>
            </w:r>
          </w:p>
        </w:tc>
      </w:tr>
      <w:tr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Barbatana de tubarão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9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28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8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11</w:t>
            </w:r>
          </w:p>
        </w:tc>
      </w:tr>
      <w:tr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Superfície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26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31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28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25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33</w:t>
            </w:r>
          </w:p>
        </w:tc>
      </w:tr>
    </w:tbl>
    <w:p>
      <w:pPr>
        <w:spacing w:after="120"/>
      </w:pPr>
      <w:r>
        <w:rPr>
          <w:sz w:val="18"/>
        </w:rPr>
        <w:t>Fonte: dados da pesquisa (2026).</w:t>
      </w:r>
    </w:p>
    <w:p>
      <w:pPr>
        <w:spacing w:before="200" w:after="80" w:line="360" w:lineRule="auto"/>
      </w:pPr>
      <w:r>
        <w:rPr>
          <w:b/>
          <w:sz w:val="24"/>
        </w:rPr>
        <w:t>5 DISCUSSÃO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Os resultados confirmam as quatro hipóteses. A deterioração do humor no microciclo pré-competitivo concentrou-se no eixo energia–fadiga (H1): o vigor recuou com efeito grande (dz = -0,95) e a fadiga elevou-se com efeito médio, enquanto as subescalas negativas de valência não fadiga permaneceram próximas do piso — padrão coerente com a literatura de monitoramento, que identifica o vigor e a fadiga como as dimensões subjetivas mais sensíveis à carga (SAW; MAIN; GASTIN, 2016; THORPE et al., 2017). A migração do perfil iceberg para o de fadiga (H2) reproduz, em um microciclo de sete dias, o “derretimento do iceberg” descrito em fases de acúmulo, e é compatível com a associação entre perturbação do humor e desempenho (MORGAN, 1985; LOCHBAUM et al., 2021).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O achado de que o afeto negativo se acopla à fadiga apenas sob carga acumulada (H3) — depressão × fadiga passando de ρ = +0,20 no dia de maior vigor para ρ = +0,75 no de maior fadiga — sugere que, em atletas de elite, a irritabilidade e o abatimento não são ruído aleatório, mas sinais que se organizam com a exaustão, o que reforça o valor de interpretar as subescalas em conjunto e à luz do estado de fadiga. Por fim, a heterogeneidade individual (H4), com a fadiga sendo a única subescala em que a maioria dos atletas deteriora de forma confiável, sustenta o monitoramento individualizado por tendência e referenciado à linha de base de cada atleta, em linha com as recomendações de consenso (KELLMANN et al., 2018). O caráter intermitente e de alta intensidade do handebol (KARCHER; BUCHHEIT, 2014) contextualiza a magnitude da resposta de fadiga observada.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Como limitações, destacam-se o tamanho amostral (n = 27) e o efeito de piso das subescalas negativas, que reduz a variância e a fidedignidade da tensão e da confusão, e o caráter observacional de fase única, que não permite inferência causal sobre a carga. Ainda assim, o desenho de medidas repetidas, o volume de observações e a estatística baseada em tamanho de efeito e mudança confiável conferem robustez descritiva aos achados.</w:t>
      </w:r>
    </w:p>
    <w:p>
      <w:pPr>
        <w:spacing w:before="200" w:after="80" w:line="360" w:lineRule="auto"/>
      </w:pPr>
      <w:r>
        <w:rPr>
          <w:b/>
          <w:sz w:val="24"/>
        </w:rPr>
        <w:t>6 CONSIDERAÇÕES FINAIS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Na última semana de pré-temporada, o perfil de humor de handebolistas de elite migrou da prontidão (iceberg) para a fadiga funcional (barbatana de tubarão), com a deterioração concentrada no eixo energia–fadiga — vigor em queda de efeito grande e fadiga em ascensão —, tanto no grupo quanto no sujeito, onde a fadiga foi a única subescala a piorar de forma confiável na maioria dos atletas. As dimensões negativas mantiveram-se estáveis e só se acoplaram à fadiga sob carga acumulada. Recomenda-se monitorar o eixo energia–fadiga por tendência e referenciado à linha de base individual, com atenção redobrada ao início do microciclo (choque de carga) e ao último dia (fadiga acumulada).</w:t>
      </w:r>
    </w:p>
    <w:p>
      <w:pPr>
        <w:spacing w:before="200" w:after="80" w:line="360" w:lineRule="auto"/>
      </w:pPr>
      <w:r>
        <w:rPr>
          <w:b/>
          <w:sz w:val="24"/>
        </w:rPr>
        <w:t>REFERÊNCIAS</w:t>
      </w:r>
    </w:p>
    <w:p>
      <w:pPr>
        <w:spacing w:line="360" w:lineRule="auto" w:after="120"/>
        <w:jc w:val="both"/>
      </w:pPr>
      <w:r>
        <w:rPr>
          <w:sz w:val="22"/>
        </w:rPr>
        <w:t>BRANDT, R.; BEVILACQUA, G. G.; ANDRADE, A. Perceived sleep quality, mood states, and their relationship with performance among Brazilian elite athletes during a competitive period. Journal of Strength and Conditioning Research, v. 31, n. 4, p. 1033–1039, 2017.</w:t>
      </w:r>
    </w:p>
    <w:p>
      <w:pPr>
        <w:spacing w:line="360" w:lineRule="auto" w:after="120"/>
        <w:jc w:val="both"/>
      </w:pPr>
      <w:r>
        <w:rPr>
          <w:sz w:val="22"/>
        </w:rPr>
        <w:t>JACOBSON, N. S.; TRUAX, P. Clinical significance: a statistical approach to defining meaningful change in psychotherapy research. Journal of Consulting and Clinical Psychology, v. 59, n. 1, p. 12–19, 1991. DOI: 10.1037/0022-006X.59.1.12.</w:t>
      </w:r>
    </w:p>
    <w:p>
      <w:pPr>
        <w:spacing w:line="360" w:lineRule="auto" w:after="120"/>
        <w:jc w:val="both"/>
      </w:pPr>
      <w:r>
        <w:rPr>
          <w:sz w:val="22"/>
        </w:rPr>
        <w:t>KARCHER, C.; BUCHHEIT, M. On-court demands of elite handball, with special reference to playing positions. Sports Medicine, v. 44, n. 6, p. 797–814, 2014. DOI: 10.1007/s40279-014-0164-z.</w:t>
      </w:r>
    </w:p>
    <w:p>
      <w:pPr>
        <w:spacing w:line="360" w:lineRule="auto" w:after="120"/>
        <w:jc w:val="both"/>
      </w:pPr>
      <w:r>
        <w:rPr>
          <w:sz w:val="22"/>
        </w:rPr>
        <w:t>KELLMANN, M. et al. Recovery and performance in sport: consensus statement. International Journal of Sports Physiology and Performance, v. 13, n. 2, p. 240–245, 2018. DOI: 10.1123/ijspp.2017-0759.</w:t>
      </w:r>
    </w:p>
    <w:p>
      <w:pPr>
        <w:spacing w:line="360" w:lineRule="auto" w:after="120"/>
        <w:jc w:val="both"/>
      </w:pPr>
      <w:r>
        <w:rPr>
          <w:sz w:val="22"/>
        </w:rPr>
        <w:t>LEW, P. C. F. et al. Cross-cultural validation of the Malaysian Mood Scale and tests of between-group mood differences. International Journal of Environmental Research and Public Health, v. 20, n. 4, 3348, 2023. DOI: 10.3390/ijerph20043348.</w:t>
      </w:r>
    </w:p>
    <w:p>
      <w:pPr>
        <w:spacing w:line="360" w:lineRule="auto" w:after="120"/>
        <w:jc w:val="both"/>
      </w:pPr>
      <w:r>
        <w:rPr>
          <w:sz w:val="22"/>
        </w:rPr>
        <w:t>LOCHBAUM, M. et al. The Profile of Mood States and athletic performance: a meta-analysis of published studies. European Journal of Investigation in Health, Psychology and Education, v. 11, n. 1, p. 50–70, 2021. DOI: 10.3390/ejihpe11010005.</w:t>
      </w:r>
    </w:p>
    <w:p>
      <w:pPr>
        <w:spacing w:line="360" w:lineRule="auto" w:after="120"/>
        <w:jc w:val="both"/>
      </w:pPr>
      <w:r>
        <w:rPr>
          <w:sz w:val="22"/>
        </w:rPr>
        <w:t>MICHALSIK, L. B.; MADSEN, K.; AAGAARD, P. Match performance and physiological capacity of female elite team handball players. International Journal of Sports Medicine, v. 35, n. 7, p. 595–607, 2013. DOI: 10.1055/s-0033-1358713.</w:t>
      </w:r>
    </w:p>
    <w:p>
      <w:pPr>
        <w:spacing w:line="360" w:lineRule="auto" w:after="120"/>
        <w:jc w:val="both"/>
      </w:pPr>
      <w:r>
        <w:rPr>
          <w:sz w:val="22"/>
        </w:rPr>
        <w:t>MORGAN, W. P. Selected psychological factors limiting performance: a mental health model. In: CLARKE, D. H.; ECKERT, H. M. (Ed.). Limits of human performance. Champaign: Human Kinetics, 1985. p. 70–80.</w:t>
      </w:r>
    </w:p>
    <w:p>
      <w:pPr>
        <w:spacing w:line="360" w:lineRule="auto" w:after="120"/>
        <w:jc w:val="both"/>
      </w:pPr>
      <w:r>
        <w:rPr>
          <w:sz w:val="22"/>
        </w:rPr>
        <w:t>PARSONS-SMITH, R. L.; TERRY, P. C.; MACHIN, M. A. Identification and description of novel mood profile clusters. Frontiers in Psychology, v. 8, 1958, 2017. DOI: 10.3389/fpsyg.2017.01958.</w:t>
      </w:r>
    </w:p>
    <w:p>
      <w:pPr>
        <w:spacing w:line="360" w:lineRule="auto" w:after="120"/>
        <w:jc w:val="both"/>
      </w:pPr>
      <w:r>
        <w:rPr>
          <w:sz w:val="22"/>
        </w:rPr>
        <w:t>RATZ-SULYOK, F. Z. et al. Associations between endocrine status and stress, mood and psychosomatic status in elite handball players. Sports, v. 14, n. 7, 289, 2026. DOI: 10.3390/sports14070289.</w:t>
      </w:r>
    </w:p>
    <w:p>
      <w:pPr>
        <w:spacing w:line="360" w:lineRule="auto" w:after="120"/>
        <w:jc w:val="both"/>
      </w:pPr>
      <w:r>
        <w:rPr>
          <w:sz w:val="22"/>
        </w:rPr>
        <w:t>ROHLFS, I. C. P. M. et al. A Escala de Humor de Brunel (Brums): instrumento para detecção precoce da síndrome do excesso de treinamento. Revista Brasileira de Medicina do Esporte, v. 14, n. 3, p. 176–181, 2008.</w:t>
      </w:r>
    </w:p>
    <w:p>
      <w:pPr>
        <w:spacing w:line="360" w:lineRule="auto" w:after="120"/>
        <w:jc w:val="both"/>
      </w:pPr>
      <w:r>
        <w:rPr>
          <w:sz w:val="22"/>
        </w:rPr>
        <w:t>SAW, A. E.; MAIN, L. C.; GASTIN, P. B. Monitoring the athlete training response: subjective self-reported measures trump commonly used objective measures: a systematic review. British Journal of Sports Medicine, v. 50, n. 5, p. 281–291, 2016. DOI: 10.1136/bjsports-2015-094758.</w:t>
      </w:r>
    </w:p>
    <w:p>
      <w:pPr>
        <w:spacing w:line="360" w:lineRule="auto" w:after="120"/>
        <w:jc w:val="both"/>
      </w:pPr>
      <w:r>
        <w:rPr>
          <w:sz w:val="22"/>
        </w:rPr>
        <w:t>TAN, C. et al. The structural validity and latent profile characteristics of the Abbreviated Profile of Mood States among Chinese athletes. BMC Psychiatry, v. 24, n. 1, 636, 2024. DOI: 10.1186/s12888-024-06092-5.</w:t>
      </w:r>
    </w:p>
    <w:p>
      <w:pPr>
        <w:spacing w:line="360" w:lineRule="auto" w:after="120"/>
        <w:jc w:val="both"/>
      </w:pPr>
      <w:r>
        <w:rPr>
          <w:sz w:val="22"/>
        </w:rPr>
        <w:t>TERRY, P. C.; LANE, A. M.; LANE, H. J.; KEOHANE, L. Development and validation of a mood measure for adolescents. Journal of Sports Sciences, v. 17, n. 11, p. 861–872, 1999. DOI: 10.1080/026404199365425.</w:t>
      </w:r>
    </w:p>
    <w:p>
      <w:pPr>
        <w:spacing w:line="360" w:lineRule="auto" w:after="120"/>
        <w:jc w:val="both"/>
      </w:pPr>
      <w:r>
        <w:rPr>
          <w:sz w:val="22"/>
        </w:rPr>
        <w:t>TERRY, P. C.; LANE, A. M.; FOGARTY, G. J. Construct validity of the Profile of Mood States — Adolescents for use with adults. Psychology of Sport and Exercise, v. 4, n. 2, p. 125–139, 2003. DOI: 10.1016/S1469-0292(02)00035-8.</w:t>
      </w:r>
    </w:p>
    <w:p>
      <w:pPr>
        <w:spacing w:line="360" w:lineRule="auto" w:after="120"/>
        <w:jc w:val="both"/>
      </w:pPr>
      <w:r>
        <w:rPr>
          <w:sz w:val="22"/>
        </w:rPr>
        <w:t>TERRY, P. C. et al. Mood profiling for sustainable mental health among athletes. Sustainability, v. 13, n. 11, 6116, 2021. DOI: 10.3390/su13116116.</w:t>
      </w:r>
    </w:p>
    <w:p>
      <w:pPr>
        <w:spacing w:line="360" w:lineRule="auto" w:after="120"/>
        <w:jc w:val="both"/>
      </w:pPr>
      <w:r>
        <w:rPr>
          <w:sz w:val="22"/>
        </w:rPr>
        <w:t>THORPE, R. T. et al. Monitoring fatigue status in elite team-sport athletes: implications for practice. International Journal of Sports Physiology and Performance, v. 12, s2, p. S2-27–S2-34, 2017. DOI: 10.1123/ijspp.2016-0434.</w:t>
      </w:r>
    </w:p>
    <w:p>
      <w:pPr>
        <w:spacing w:line="360" w:lineRule="auto" w:after="120"/>
        <w:jc w:val="both"/>
      </w:pPr>
      <w:r>
        <w:rPr>
          <w:sz w:val="22"/>
        </w:rPr>
        <w:t>WAGNER, H. et al. Individual and team performance in team-handball: a review. Journal of Sports Science and Medicine, v. 13, n. 4, p. 808–816, 2014.</w:t>
      </w:r>
    </w:p>
    <w:sectPr w:rsidR="00FC693F" w:rsidRPr="0006063C" w:rsidSect="00034616">
      <w:pgSz w:w="12240" w:h="15840"/>
      <w:pgMar w:top="1701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