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3540000"/>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3540000"/>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5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before="120"/>
        <w:jc w:val="center"/>
      </w:pPr>
      <w:r>
        <w:drawing>
          <wp:inline xmlns:a="http://schemas.openxmlformats.org/drawingml/2006/main" xmlns:pic="http://schemas.openxmlformats.org/drawingml/2006/picture">
            <wp:extent cx="5400000" cy="2630769"/>
            <wp:docPr id="5" name="Picture 5"/>
            <wp:cNvGraphicFramePr>
              <a:graphicFrameLocks noChangeAspect="1"/>
            </wp:cNvGraphicFramePr>
            <a:graphic>
              <a:graphicData uri="http://schemas.openxmlformats.org/drawingml/2006/picture">
                <pic:pic>
                  <pic:nvPicPr>
                    <pic:cNvPr id="0" name="xb3_box.png"/>
                    <pic:cNvPicPr/>
                  </pic:nvPicPr>
                  <pic:blipFill>
                    <a:blip r:embed="rId13"/>
                    <a:stretch>
                      <a:fillRect/>
                    </a:stretch>
                  </pic:blipFill>
                  <pic:spPr>
                    <a:xfrm>
                      <a:off x="0" y="0"/>
                      <a:ext cx="5400000" cy="2630769"/>
                    </a:xfrm>
                    <a:prstGeom prst="rect"/>
                  </pic:spPr>
                </pic:pic>
              </a:graphicData>
            </a:graphic>
          </wp:inline>
        </w:drawing>
      </w:r>
    </w:p>
    <w:p>
      <w:pPr>
        <w:jc w:val="center"/>
      </w:pPr>
      <w:r>
        <w:rPr>
          <w:sz w:val="22"/>
        </w:rPr>
        <w:t>Figura 5 – Diagramas de caixa das seis dimensões do BRUMS por dia do microciclo (áreas sombreadas: início e acúmulo da semana).</w:t>
      </w:r>
    </w:p>
    <w:p>
      <w:pPr>
        <w:spacing w:after="120"/>
        <w:jc w:val="center"/>
      </w:pPr>
      <w:r>
        <w:rPr>
          <w:sz w:val="18"/>
        </w:rPr>
        <w:t>Fonte: elaboração dos autores (2026).</w:t>
      </w:r>
    </w:p>
    <w:p>
      <w:pPr>
        <w:spacing w:before="120" w:after="80" w:line="360" w:lineRule="auto"/>
      </w:pPr>
      <w:r>
        <w:rPr>
          <w:b/>
          <w:sz w:val="24"/>
        </w:rPr>
        <w:t>4.5 Suavização das trajetórias e limites das segundas derivadas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6;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3540000"/>
            <wp:docPr id="6" name="Picture 6"/>
            <wp:cNvGraphicFramePr>
              <a:graphicFrameLocks noChangeAspect="1"/>
            </wp:cNvGraphicFramePr>
            <a:graphic>
              <a:graphicData uri="http://schemas.openxmlformats.org/drawingml/2006/picture">
                <pic:pic>
                  <pic:nvPicPr>
                    <pic:cNvPr id="0" name="smooth_deriv.png"/>
                    <pic:cNvPicPr/>
                  </pic:nvPicPr>
                  <pic:blipFill>
                    <a:blip r:embed="rId14"/>
                    <a:stretch>
                      <a:fillRect/>
                    </a:stretch>
                  </pic:blipFill>
                  <pic:spPr>
                    <a:xfrm>
                      <a:off x="0" y="0"/>
                      <a:ext cx="4500000" cy="3540000"/>
                    </a:xfrm>
                    <a:prstGeom prst="rect"/>
                  </pic:spPr>
                </pic:pic>
              </a:graphicData>
            </a:graphic>
          </wp:inline>
        </w:drawing>
      </w:r>
    </w:p>
    <w:p>
      <w:pPr>
        <w:jc w:val="center"/>
      </w:pPr>
      <w:r>
        <w:rPr>
          <w:sz w:val="22"/>
        </w:rPr>
        <w:t>Figura 6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7),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644800"/>
            <wp:docPr id="7" name="Picture 7"/>
            <wp:cNvGraphicFramePr>
              <a:graphicFrameLocks noChangeAspect="1"/>
            </wp:cNvGraphicFramePr>
            <a:graphic>
              <a:graphicData uri="http://schemas.openxmlformats.org/drawingml/2006/picture">
                <pic:pic>
                  <pic:nvPicPr>
                    <pic:cNvPr id="0" name="ph_emm.png"/>
                    <pic:cNvPicPr/>
                  </pic:nvPicPr>
                  <pic:blipFill>
                    <a:blip r:embed="rId15"/>
                    <a:stretch>
                      <a:fillRect/>
                    </a:stretch>
                  </pic:blipFill>
                  <pic:spPr>
                    <a:xfrm>
                      <a:off x="0" y="0"/>
                      <a:ext cx="5220000" cy="2644800"/>
                    </a:xfrm>
                    <a:prstGeom prst="rect"/>
                  </pic:spPr>
                </pic:pic>
              </a:graphicData>
            </a:graphic>
          </wp:inline>
        </w:drawing>
      </w:r>
    </w:p>
    <w:p>
      <w:pPr>
        <w:jc w:val="center"/>
      </w:pPr>
      <w:r>
        <w:rPr>
          <w:sz w:val="22"/>
        </w:rPr>
        <w:t>Figura 7 – Médias marginais diárias do vigor, da fadiga e da fadiga física, com comparação de todos os dias ao Dia 1 (* p &lt; 0,05).</w:t>
      </w:r>
    </w:p>
    <w:p>
      <w:pPr>
        <w:spacing w:after="120"/>
        <w:jc w:val="center"/>
      </w:pPr>
      <w:r>
        <w:rPr>
          <w:sz w:val="18"/>
        </w:rPr>
        <w:t>Fonte: elaboração dos autores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500000" cy="3540000"/>
            <wp:docPr id="8" name="Picture 8"/>
            <wp:cNvGraphicFramePr>
              <a:graphicFrameLocks noChangeAspect="1"/>
            </wp:cNvGraphicFramePr>
            <a:graphic>
              <a:graphicData uri="http://schemas.openxmlformats.org/drawingml/2006/picture">
                <pic:pic>
                  <pic:nvPicPr>
                    <pic:cNvPr id="0" name="abnt_f_prepos.png"/>
                    <pic:cNvPicPr/>
                  </pic:nvPicPr>
                  <pic:blipFill>
                    <a:blip r:embed="rId16"/>
                    <a:stretch>
                      <a:fillRect/>
                    </a:stretch>
                  </pic:blipFill>
                  <pic:spPr>
                    <a:xfrm>
                      <a:off x="0" y="0"/>
                      <a:ext cx="4500000" cy="3540000"/>
                    </a:xfrm>
                    <a:prstGeom prst="rect"/>
                  </pic:spPr>
                </pic:pic>
              </a:graphicData>
            </a:graphic>
          </wp:inline>
        </w:drawing>
      </w:r>
    </w:p>
    <w:p>
      <w:pPr>
        <w:jc w:val="center"/>
      </w:pPr>
      <w:r>
        <w:rPr>
          <w:sz w:val="22"/>
        </w:rPr>
        <w:t>Figura 8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