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26"/>
        </w:rPr>
        <w:t>T-CAR 2 (APTIDÃO PÓS-BLOCO) E ADAPTAÇÃO INDIVIDUAL COMO PARÂMETROS FISIOLÓGICOS DO ESTADO PSICOLÓGICO DE BASE — COMPARAÇÃO COM O T-CAR 1</w:t>
      </w:r>
    </w:p>
    <w:p>
      <w:pPr>
        <w:spacing w:line="360" w:lineRule="auto" w:after="200" w:before="0"/>
        <w:ind w:firstLine="709"/>
        <w:jc w:val="both"/>
      </w:pPr>
      <w:r>
        <w:rPr>
          <w:sz w:val="22"/>
        </w:rPr>
        <w:t>Parâmetro fisiológico: T-CAR 2 (reteste — pico de velocidade final, distância/repetições finais e FCmáx) e a adaptação ΔPV (T-CAR 2 − T-CAR 1); carga interna do HIIT (TRIMP/PSE). Parâmetro psicológico: baseline (D1, 21/04). Amostra: 27 handebolistas do sexo masculino.</w:t>
      </w:r>
    </w:p>
    <w:p>
      <w:pPr>
        <w:spacing w:before="240" w:after="120" w:line="360" w:lineRule="auto"/>
      </w:pPr>
      <w:r>
        <w:rPr>
          <w:b/>
          <w:sz w:val="24"/>
        </w:rPr>
        <w:t>Resumo</w:t>
      </w:r>
    </w:p>
    <w:p>
      <w:pPr>
        <w:spacing w:line="360" w:lineRule="auto" w:after="160" w:before="0"/>
        <w:ind w:firstLine="709"/>
        <w:jc w:val="both"/>
      </w:pPr>
      <w:r>
        <w:rPr>
          <w:sz w:val="24"/>
        </w:rPr>
        <w:t>Refeita a análise com o T-CAR 2 (aptidão medida após o bloco de treino), as associações com o estado psicológico de base ENFRAQUECEM em relação ao T-CAR 1: o PV do T-CAR 2 correlaciona-se com a fadiga de base a ρ = -0,26 (p = 0,20), contra ρ = -0,38 (p = 0,06) do T-CAR 1; e classifica o perfil iceberg com AUC = 0,56, contra 0,64 do T-CAR 1. A interpretação é direta e temporalmente coerente: a aptidão CONTEMPORÂNEA ao baseline (T-CAR 1) é o covariável correto do estado inicial; o T-CAR 2 reflete a aptidão pós-adaptação e é mais fracamente ligado ao baseline anterior. O grupo melhorou de forma real (ΔPV médio = 0,93 km·h⁻¹, ≈ +6%), mas a magnitude da adaptação individual NÃO se associou nem ao humor de base nem à deterioração da semana. Recomenda-se usar o T-CAR 1 como covariável fisiológica do baseline e o T-CAR 2 como DESFECHO (ganho de aptidão), não como preditor do estado inicial.</w:t>
      </w:r>
    </w:p>
    <w:p>
      <w:pPr>
        <w:spacing w:before="240" w:after="120" w:line="360" w:lineRule="auto"/>
      </w:pPr>
      <w:r>
        <w:rPr>
          <w:b/>
          <w:sz w:val="24"/>
        </w:rPr>
        <w:t>1. Parâmetros</w:t>
      </w:r>
    </w:p>
    <w:p>
      <w:pPr>
        <w:spacing w:line="360" w:lineRule="auto" w:after="120" w:before="0"/>
        <w:ind w:firstLine="709"/>
        <w:jc w:val="both"/>
      </w:pPr>
      <w:r>
        <w:rPr>
          <w:sz w:val="24"/>
        </w:rPr>
        <w:t>T-CAR 2 (reteste incremental pós-bloco): PV final (km·h⁻¹), distância percorrida (repetições finais × (PV/3,6) × 12 s) e FCmáx. Adaptação: ΔPV = PV final − PV inicial (ganho de velocidade aeróbia máxima entre os dois testes). Carga interna: TRIMP de Banister das sessões de HIIT (S1–S3) e PSE. Psicológico: baseline do BRUMS no D1 (vigor, fadiga, fadiga física/mental, PTH/TMD, índice iceberg). Correlações de Spearman; alometria log-log; ROC (AUC).</w:t>
      </w:r>
    </w:p>
    <w:p>
      <w:pPr>
        <w:spacing w:before="240" w:after="120" w:line="360" w:lineRule="auto"/>
      </w:pPr>
      <w:r>
        <w:rPr>
          <w:b/>
          <w:sz w:val="24"/>
        </w:rPr>
        <w:t>2. Resultados</w:t>
      </w:r>
    </w:p>
    <w:p>
      <w:pPr>
        <w:spacing w:before="240" w:after="120" w:line="360" w:lineRule="auto"/>
      </w:pPr>
      <w:r>
        <w:rPr>
          <w:b/>
          <w:sz w:val="24"/>
        </w:rPr>
        <w:t>2.1 T-CAR 2 × psicológico de base</w:t>
      </w:r>
    </w:p>
    <w:p>
      <w:pPr>
        <w:spacing w:before="200" w:after="60"/>
      </w:pPr>
      <w:r>
        <w:rPr>
          <w:sz w:val="22"/>
        </w:rPr>
        <w:t>Tabela 1 – Correlação de Spearman (ρ, p) entre parâmetros do T-CAR 2 e o psicológico de base (n = 27)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928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Parâmetro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Vigor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Fadiga BRUMS</w:t>
            </w:r>
          </w:p>
        </w:tc>
        <w:tc>
          <w:tcPr>
            <w:tcW w:type="dxa" w:w="141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Fad. física</w:t>
            </w:r>
          </w:p>
        </w:tc>
        <w:tc>
          <w:tcPr>
            <w:tcW w:type="dxa" w:w="141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Fad. mental</w:t>
            </w:r>
          </w:p>
        </w:tc>
        <w:tc>
          <w:tcPr>
            <w:tcW w:type="dxa" w:w="136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PTH/TMD</w:t>
            </w:r>
          </w:p>
        </w:tc>
        <w:tc>
          <w:tcPr>
            <w:tcW w:type="dxa" w:w="130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Iceberg</w:t>
            </w:r>
          </w:p>
        </w:tc>
      </w:tr>
      <w:tr>
        <w:tc>
          <w:tcPr>
            <w:tcW w:type="dxa" w:w="1928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PV final (T-CAR 2)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+0,07 (0,72)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-0,26 (0,20)</w:t>
            </w:r>
          </w:p>
        </w:tc>
        <w:tc>
          <w:tcPr>
            <w:tcW w:type="dxa" w:w="141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-0,04 (0,84)</w:t>
            </w:r>
          </w:p>
        </w:tc>
        <w:tc>
          <w:tcPr>
            <w:tcW w:type="dxa" w:w="141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-0,02 (0,91)</w:t>
            </w:r>
          </w:p>
        </w:tc>
        <w:tc>
          <w:tcPr>
            <w:tcW w:type="dxa" w:w="136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-0,12 (0,56)</w:t>
            </w:r>
          </w:p>
        </w:tc>
        <w:tc>
          <w:tcPr>
            <w:tcW w:type="dxa" w:w="130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+0,13 (0,53)</w:t>
            </w:r>
          </w:p>
        </w:tc>
      </w:tr>
      <w:tr>
        <w:tc>
          <w:tcPr>
            <w:tcW w:type="dxa" w:w="1928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Distância (T-CAR 2)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+0,07 (0,72)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-0,26 (0,20)</w:t>
            </w:r>
          </w:p>
        </w:tc>
        <w:tc>
          <w:tcPr>
            <w:tcW w:type="dxa" w:w="141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-0,04 (0,84)</w:t>
            </w:r>
          </w:p>
        </w:tc>
        <w:tc>
          <w:tcPr>
            <w:tcW w:type="dxa" w:w="141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-0,02 (0,91)</w:t>
            </w:r>
          </w:p>
        </w:tc>
        <w:tc>
          <w:tcPr>
            <w:tcW w:type="dxa" w:w="136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-0,12 (0,56)</w:t>
            </w:r>
          </w:p>
        </w:tc>
        <w:tc>
          <w:tcPr>
            <w:tcW w:type="dxa" w:w="130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+0,13 (0,53)</w:t>
            </w:r>
          </w:p>
        </w:tc>
      </w:tr>
      <w:tr>
        <w:tc>
          <w:tcPr>
            <w:tcW w:type="dxa" w:w="1928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FCmáx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+0,12 (0,56)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-0,15 (0,47)</w:t>
            </w:r>
          </w:p>
        </w:tc>
        <w:tc>
          <w:tcPr>
            <w:tcW w:type="dxa" w:w="141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-0,30 (0,14)</w:t>
            </w:r>
          </w:p>
        </w:tc>
        <w:tc>
          <w:tcPr>
            <w:tcW w:type="dxa" w:w="141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-0,22 (0,28)</w:t>
            </w:r>
          </w:p>
        </w:tc>
        <w:tc>
          <w:tcPr>
            <w:tcW w:type="dxa" w:w="136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-0,21 (0,30)</w:t>
            </w:r>
          </w:p>
        </w:tc>
        <w:tc>
          <w:tcPr>
            <w:tcW w:type="dxa" w:w="130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+0,14 (0,49)</w:t>
            </w:r>
          </w:p>
        </w:tc>
      </w:tr>
      <w:tr>
        <w:tc>
          <w:tcPr>
            <w:tcW w:type="dxa" w:w="1928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TRIMP (HIIT)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+0,10 (0,62)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+0,09 (0,67)</w:t>
            </w:r>
          </w:p>
        </w:tc>
        <w:tc>
          <w:tcPr>
            <w:tcW w:type="dxa" w:w="141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+0,04 (0,84)</w:t>
            </w:r>
          </w:p>
        </w:tc>
        <w:tc>
          <w:tcPr>
            <w:tcW w:type="dxa" w:w="141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-0,15 (0,48)</w:t>
            </w:r>
          </w:p>
        </w:tc>
        <w:tc>
          <w:tcPr>
            <w:tcW w:type="dxa" w:w="136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+0,16 (0,44)</w:t>
            </w:r>
          </w:p>
        </w:tc>
        <w:tc>
          <w:tcPr>
            <w:tcW w:type="dxa" w:w="130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-0,01 (0,98)</w:t>
            </w:r>
          </w:p>
        </w:tc>
      </w:tr>
      <w:tr>
        <w:tc>
          <w:tcPr>
            <w:tcW w:type="dxa" w:w="1928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PSE (HIIT)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+0,16 (0,43)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+0,21 (0,30)</w:t>
            </w:r>
          </w:p>
        </w:tc>
        <w:tc>
          <w:tcPr>
            <w:tcW w:type="dxa" w:w="141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-0,07 (0,75)</w:t>
            </w:r>
          </w:p>
        </w:tc>
        <w:tc>
          <w:tcPr>
            <w:tcW w:type="dxa" w:w="141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-0,08 (0,71)</w:t>
            </w:r>
          </w:p>
        </w:tc>
        <w:tc>
          <w:tcPr>
            <w:tcW w:type="dxa" w:w="136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+0,05 (0,81)</w:t>
            </w:r>
          </w:p>
        </w:tc>
        <w:tc>
          <w:tcPr>
            <w:tcW w:type="dxa" w:w="130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+0,06 (0,77)</w:t>
            </w:r>
          </w:p>
        </w:tc>
      </w:tr>
    </w:tbl>
    <w:p>
      <w:pPr>
        <w:spacing w:after="160"/>
      </w:pPr>
      <w:r>
        <w:rPr>
          <w:sz w:val="20"/>
        </w:rPr>
        <w:t>Fonte: os autores (2026).</w:t>
      </w:r>
    </w:p>
    <w:p>
      <w:pPr>
        <w:spacing w:line="360" w:lineRule="auto" w:after="120" w:before="0"/>
        <w:ind w:firstLine="709"/>
        <w:jc w:val="both"/>
      </w:pPr>
      <w:r>
        <w:rPr>
          <w:sz w:val="24"/>
        </w:rPr>
        <w:t>O PV final e a distância do T-CAR 2 mantêm o sinal negativo sobre a fadiga de base, porém enfraquecido e não significativo (ρ = -0,26). PV e distância permanecem redundantes. A carga interna segue nula, como esperado.</w:t>
      </w:r>
    </w:p>
    <w:p>
      <w:pPr>
        <w:spacing w:before="240" w:after="120" w:line="360" w:lineRule="auto"/>
      </w:pPr>
      <w:r>
        <w:rPr>
          <w:b/>
          <w:sz w:val="24"/>
        </w:rPr>
        <w:t>2.2 Comparação direta T-CAR 1 vs T-CAR 2</w:t>
      </w:r>
    </w:p>
    <w:p>
      <w:pPr>
        <w:spacing w:before="200" w:after="60"/>
      </w:pPr>
      <w:r>
        <w:rPr>
          <w:sz w:val="22"/>
        </w:rPr>
        <w:t>Tabela 2 – Poder de indicação sobre o baseline — T-CAR 1 vs T-CAR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948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Métrica</w:t>
            </w:r>
          </w:p>
        </w:tc>
        <w:tc>
          <w:tcPr>
            <w:tcW w:type="dxa" w:w="170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T-CAR 1</w:t>
            </w:r>
          </w:p>
        </w:tc>
        <w:tc>
          <w:tcPr>
            <w:tcW w:type="dxa" w:w="170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T-CAR 2</w:t>
            </w:r>
          </w:p>
        </w:tc>
        <w:tc>
          <w:tcPr>
            <w:tcW w:type="dxa" w:w="215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Leitura</w:t>
            </w:r>
          </w:p>
        </w:tc>
      </w:tr>
      <w:tr>
        <w:tc>
          <w:tcPr>
            <w:tcW w:type="dxa" w:w="2948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ρ PV × fadiga (base)</w:t>
            </w:r>
          </w:p>
        </w:tc>
        <w:tc>
          <w:tcPr>
            <w:tcW w:type="dxa" w:w="170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-0,38</w:t>
            </w:r>
          </w:p>
        </w:tc>
        <w:tc>
          <w:tcPr>
            <w:tcW w:type="dxa" w:w="170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-0,26</w:t>
            </w:r>
          </w:p>
        </w:tc>
        <w:tc>
          <w:tcPr>
            <w:tcW w:type="dxa" w:w="215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T-CAR 1 mais forte</w:t>
            </w:r>
          </w:p>
        </w:tc>
      </w:tr>
      <w:tr>
        <w:tc>
          <w:tcPr>
            <w:tcW w:type="dxa" w:w="2948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ρ PV × fadiga física (base)</w:t>
            </w:r>
          </w:p>
        </w:tc>
        <w:tc>
          <w:tcPr>
            <w:tcW w:type="dxa" w:w="170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-0,22</w:t>
            </w:r>
          </w:p>
        </w:tc>
        <w:tc>
          <w:tcPr>
            <w:tcW w:type="dxa" w:w="170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-0,04</w:t>
            </w:r>
          </w:p>
        </w:tc>
        <w:tc>
          <w:tcPr>
            <w:tcW w:type="dxa" w:w="215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T-CAR 1 mais forte</w:t>
            </w:r>
          </w:p>
        </w:tc>
      </w:tr>
      <w:tr>
        <w:tc>
          <w:tcPr>
            <w:tcW w:type="dxa" w:w="2948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AUC iceberg (base)</w:t>
            </w:r>
          </w:p>
        </w:tc>
        <w:tc>
          <w:tcPr>
            <w:tcW w:type="dxa" w:w="170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0,64</w:t>
            </w:r>
          </w:p>
        </w:tc>
        <w:tc>
          <w:tcPr>
            <w:tcW w:type="dxa" w:w="170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0,56</w:t>
            </w:r>
          </w:p>
        </w:tc>
        <w:tc>
          <w:tcPr>
            <w:tcW w:type="dxa" w:w="215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T-CAR 1 mais forte</w:t>
            </w:r>
          </w:p>
        </w:tc>
      </w:tr>
      <w:tr>
        <w:tc>
          <w:tcPr>
            <w:tcW w:type="dxa" w:w="2948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PV médio (km·h⁻¹)</w:t>
            </w:r>
          </w:p>
        </w:tc>
        <w:tc>
          <w:tcPr>
            <w:tcW w:type="dxa" w:w="170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14,9</w:t>
            </w:r>
          </w:p>
        </w:tc>
        <w:tc>
          <w:tcPr>
            <w:tcW w:type="dxa" w:w="170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15,9</w:t>
            </w:r>
          </w:p>
        </w:tc>
        <w:tc>
          <w:tcPr>
            <w:tcW w:type="dxa" w:w="215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ganho ≈ +0,9</w:t>
            </w:r>
          </w:p>
        </w:tc>
      </w:tr>
    </w:tbl>
    <w:p>
      <w:pPr>
        <w:spacing w:after="160"/>
      </w:pPr>
      <w:r>
        <w:rPr>
          <w:sz w:val="20"/>
        </w:rPr>
        <w:t>Fonte: os autores (2026).</w:t>
      </w:r>
    </w:p>
    <w:p>
      <w:pPr>
        <w:spacing w:line="360" w:lineRule="auto" w:after="120" w:before="0"/>
        <w:ind w:firstLine="709"/>
        <w:jc w:val="both"/>
      </w:pPr>
      <w:r>
        <w:rPr>
          <w:sz w:val="24"/>
        </w:rPr>
        <w:t>A aptidão pós-bloco (T-CAR 2) explica pior o estado psicológico de base do que a aptidão contemporânea a ele (T-CAR 1) — coerente com a temporalidade: o baseline foi medido antes do bloco de treino que produziu o T-CAR 2. Isso confirma a recomendação de tratar o T-CAR 1 como o marcador fisiológico do baseline.</w:t>
      </w:r>
    </w:p>
    <w:p>
      <w:pPr>
        <w:spacing w:before="240" w:after="120" w:line="360" w:lineRule="auto"/>
      </w:pPr>
      <w:r>
        <w:rPr>
          <w:b/>
          <w:sz w:val="24"/>
        </w:rPr>
        <w:t>2.3 Adaptação individual (ΔPV) — quem ganhou mais aptidão fadigou menos?</w:t>
      </w:r>
    </w:p>
    <w:p>
      <w:pPr>
        <w:spacing w:line="360" w:lineRule="auto" w:after="120" w:before="0"/>
        <w:ind w:firstLine="709"/>
        <w:jc w:val="both"/>
      </w:pPr>
      <w:r>
        <w:rPr>
          <w:sz w:val="24"/>
        </w:rPr>
        <w:t>O grupo melhorou o PV em média 0,93 km·h⁻¹ (≈ +6%) entre os dois testes — efeito de treino real, com variação individual de perda a ganho expressivo. Contudo, a magnitude da adaptação NÃO se associou ao humor de base (ΔPV × fadiga base ρ = -0,07; × iceberg ρ = +0,04) nem à deterioração da semana (ΔPV × Δfadiga física D1→D7 ρ = +0,12; ΔPV × Δvigor ρ = -0,03) — todas não significativas. Ou seja, neste microciclo específico, quem adaptou mais não fadigou menos: a resposta aguda da semana é governada por outros fatores (nível de aptidão em si, perfil de humor, carga percebida), não pelo tamanho do ganho no teste.</w:t>
      </w:r>
    </w:p>
    <w:p>
      <w:pPr>
        <w:spacing w:before="240" w:after="120" w:line="360" w:lineRule="auto"/>
      </w:pPr>
      <w:r>
        <w:rPr>
          <w:b/>
          <w:sz w:val="24"/>
        </w:rPr>
        <w:t>2.4 Posição</w:t>
      </w:r>
    </w:p>
    <w:p>
      <w:pPr>
        <w:spacing w:before="200" w:after="60"/>
      </w:pPr>
      <w:r>
        <w:rPr>
          <w:sz w:val="22"/>
        </w:rPr>
        <w:t>Tabela 3 – Parâmetros por posição — T-CAR 2 e psicológico de base (médias)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47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Posição</w:t>
            </w:r>
          </w:p>
        </w:tc>
        <w:tc>
          <w:tcPr>
            <w:tcW w:type="dxa" w:w="68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n</w:t>
            </w:r>
          </w:p>
        </w:tc>
        <w:tc>
          <w:tcPr>
            <w:tcW w:type="dxa" w:w="136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PV final</w:t>
            </w:r>
          </w:p>
        </w:tc>
        <w:tc>
          <w:tcPr>
            <w:tcW w:type="dxa" w:w="147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Distância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Vigor (base)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Fad. fís. (base)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Iceberg (base)</w:t>
            </w:r>
          </w:p>
        </w:tc>
      </w:tr>
      <w:tr>
        <w:tc>
          <w:tcPr>
            <w:tcW w:type="dxa" w:w="147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Goleiro</w:t>
            </w:r>
          </w:p>
        </w:tc>
        <w:tc>
          <w:tcPr>
            <w:tcW w:type="dxa" w:w="68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136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15,5</w:t>
            </w:r>
          </w:p>
        </w:tc>
        <w:tc>
          <w:tcPr>
            <w:tcW w:type="dxa" w:w="147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3058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10,0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5,0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+0,57</w:t>
            </w:r>
          </w:p>
        </w:tc>
      </w:tr>
      <w:tr>
        <w:tc>
          <w:tcPr>
            <w:tcW w:type="dxa" w:w="147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Meia</w:t>
            </w:r>
          </w:p>
        </w:tc>
        <w:tc>
          <w:tcPr>
            <w:tcW w:type="dxa" w:w="68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11</w:t>
            </w:r>
          </w:p>
        </w:tc>
        <w:tc>
          <w:tcPr>
            <w:tcW w:type="dxa" w:w="136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16,0</w:t>
            </w:r>
          </w:p>
        </w:tc>
        <w:tc>
          <w:tcPr>
            <w:tcW w:type="dxa" w:w="147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3434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7,2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3,0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+0,51</w:t>
            </w:r>
          </w:p>
        </w:tc>
      </w:tr>
      <w:tr>
        <w:tc>
          <w:tcPr>
            <w:tcW w:type="dxa" w:w="147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Ponta</w:t>
            </w:r>
          </w:p>
        </w:tc>
        <w:tc>
          <w:tcPr>
            <w:tcW w:type="dxa" w:w="68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136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16,1</w:t>
            </w:r>
          </w:p>
        </w:tc>
        <w:tc>
          <w:tcPr>
            <w:tcW w:type="dxa" w:w="147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3489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9,4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3,2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+1,51</w:t>
            </w:r>
          </w:p>
        </w:tc>
      </w:tr>
      <w:tr>
        <w:tc>
          <w:tcPr>
            <w:tcW w:type="dxa" w:w="147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Pivô</w:t>
            </w:r>
          </w:p>
        </w:tc>
        <w:tc>
          <w:tcPr>
            <w:tcW w:type="dxa" w:w="68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136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15,1</w:t>
            </w:r>
          </w:p>
        </w:tc>
        <w:tc>
          <w:tcPr>
            <w:tcW w:type="dxa" w:w="147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2816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7,5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5,0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+0,15</w:t>
            </w:r>
          </w:p>
        </w:tc>
      </w:tr>
    </w:tbl>
    <w:p>
      <w:pPr>
        <w:spacing w:after="160"/>
      </w:pPr>
      <w:r>
        <w:rPr>
          <w:sz w:val="20"/>
        </w:rPr>
        <w:t>Fonte: os autores (2026).</w:t>
      </w:r>
    </w:p>
    <w:p>
      <w:pPr>
        <w:spacing w:line="360" w:lineRule="auto" w:after="120" w:before="0"/>
        <w:ind w:firstLine="709"/>
        <w:jc w:val="both"/>
      </w:pPr>
      <w:r>
        <w:rPr>
          <w:sz w:val="24"/>
        </w:rPr>
        <w:t>A ordenação posicional é preservada: pontas e meias com maior PV final; pivôs menores. O padrão de aptidão por posição é estável entre os dois testes.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tcar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 – T-CAR 2 e adaptação. (A) PV do T-CAR 2 × fadiga de base (associação enfraquecida). (B) T-CAR 1 supera o T-CAR 2 no poder sobre o baseline. (C) Adaptação individual ΔPV (verde = ganho, vermelho = perda; linha = média +0,9). (D) O ganho de aptidão não previu menos fadiga na semana.</w:t>
      </w:r>
    </w:p>
    <w:p>
      <w:pPr>
        <w:spacing w:after="160"/>
        <w:jc w:val="center"/>
      </w:pPr>
      <w:r>
        <w:rPr>
          <w:sz w:val="20"/>
        </w:rPr>
        <w:t>Fonte: os autores (2026).</w:t>
      </w:r>
    </w:p>
    <w:p>
      <w:pPr>
        <w:spacing w:before="240" w:after="120" w:line="360" w:lineRule="auto"/>
      </w:pPr>
      <w:r>
        <w:rPr>
          <w:b/>
          <w:sz w:val="24"/>
        </w:rPr>
        <w:t>3. Síntese</w:t>
      </w:r>
    </w:p>
    <w:p>
      <w:pPr>
        <w:spacing w:line="360" w:lineRule="auto" w:after="120" w:before="0"/>
        <w:ind w:firstLine="709"/>
        <w:jc w:val="both"/>
      </w:pPr>
      <w:r>
        <w:rPr>
          <w:sz w:val="24"/>
        </w:rPr>
        <w:t>Com o T-CAR 2: (1) a aptidão pós-bloco associa-se mais fracamente ao baseline do que o T-CAR 1 — o marcador fisiológico correto do estado inicial é o T-CAR 1; (2) houve adaptação real do grupo (ΔPV ≈ +0,9 km·h⁻¹), mas o tamanho do ganho individual não explicou o humor de base nem a deterioração semanal; (3) a estrutura posicional da aptidão é estável. Conclusão prática: o T-CAR 2 é mais informativo como DESFECHO de adaptação do que como preditor do estado psicológico; para modelar o estado e a resposta da semana, mantenha o T-CAR 1 (aptidão de base) como covariável fisiológica.</w:t>
      </w:r>
    </w:p>
    <w:p>
      <w:pPr>
        <w:spacing w:before="240" w:after="120" w:line="360" w:lineRule="auto"/>
      </w:pPr>
      <w:r>
        <w:rPr>
          <w:b/>
          <w:sz w:val="24"/>
        </w:rPr>
        <w:t>4. Limitações</w:t>
      </w:r>
    </w:p>
    <w:p>
      <w:pPr>
        <w:spacing w:line="360" w:lineRule="auto" w:after="120" w:before="0"/>
        <w:ind w:firstLine="709"/>
        <w:jc w:val="both"/>
      </w:pPr>
      <w:r>
        <w:rPr>
          <w:sz w:val="24"/>
        </w:rPr>
        <w:t>Baseline é ponto único com efeito de piso; o T-CAR 2 é posterior e temporalmente distante do baseline; um atleta sem PV final (n = 26 para o T-CAR 2). O TRIMP vem das sessões de HIIT (não do teste) sob premissas constantes. Relações correlacionais; subgrupos posicionais pequenos.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