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Auditoria das classificações de perfil de humor no projeto de handebol</w:t>
      </w:r>
    </w:p>
    <w:p>
      <w:pPr>
        <w:spacing w:line="240" w:lineRule="auto" w:after="160"/>
        <w:ind w:firstLine="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Três séries divergentes, a origem de cada uma e qual delas deve prevalecer</w:t>
      </w:r>
    </w:p>
    <w:p>
      <w:pPr>
        <w:spacing w:line="240" w:lineRule="auto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>O QUE MOTIVOU ESTA AUDITORIA</w:t>
      </w:r>
    </w:p>
    <w:p>
      <w:pPr>
        <w:spacing w:line="240" w:lineRule="auto" w:after="120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O orientador questionou o valor de prevalência do perfil iceberg no dia de repouso. Os manuscritos em circulação relatam 71,4%, e a lembrança dele apontava para algo entre 40% e 42%, com queda para cerca de 19% no último dia. A auditoria varreu os dezoito documentos do projeto e confirma que a objeção procede: existem três séries distintas, o número correto do perfil iceberg no dia 1 é 40,5%, e o valor de 71,4% pertence a outro critério de classificação, que foi indevidamente misturado à narrativa dos seis perfis.</w:t>
      </w:r>
    </w:p>
    <w:p>
      <w:pPr>
        <w:pStyle w:val="Heading1"/>
      </w:pPr>
      <w:r>
        <w:t>1 A RESPOSTA CURTA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Esta auditoria foi refeita depois que a base de respostas por atleta e por dia ficou disponível.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Com ela, a classificação deixou de ser transcrita de terceiros e passou a ser calculada, o que produziu uma quarta série, a série D, adotada em todo o projeto. No dia de repouso o perfil iceberg é de </w:t>
      </w:r>
      <w:r>
        <w:rPr>
          <w:rFonts w:ascii="Times New Roman" w:hAnsi="Times New Roman"/>
          <w:b/>
          <w:i w:val="0"/>
          <w:color w:val="000000"/>
          <w:sz w:val="24"/>
        </w:rPr>
        <w:t>38,1%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e no último dia cai para </w:t>
      </w:r>
      <w:r>
        <w:rPr>
          <w:rFonts w:ascii="Times New Roman" w:hAnsi="Times New Roman"/>
          <w:b/>
          <w:i w:val="0"/>
          <w:color w:val="000000"/>
          <w:sz w:val="24"/>
        </w:rPr>
        <w:t>21,7%</w:t>
      </w:r>
      <w:r>
        <w:rPr>
          <w:rFonts w:ascii="Times New Roman" w:hAnsi="Times New Roman"/>
          <w:b w:val="0"/>
          <w:i w:val="0"/>
          <w:color w:val="000000"/>
          <w:sz w:val="24"/>
        </w:rPr>
        <w:t>. A lembrança do orientador, de algo entre 40% e 42% na partida e cerca de 19% na chegada, é próxima destes valores e coincide com a série A, que era a melhor aproximação disponível antes da base.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As quatro séries apontam na mesma direção e discordam na magnitude. O que muda com a série D não é a conclusão, é o estatuto dela: pela primeira vez o número tem procedimento declarado, base versionada e rotina que qualquer pessoa pode reexecutar, e existe nos sete dias em vez de apenas nas duas pontas.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O valor de 71,4% que circula nos manuscritos pertence a outro critério. Ele é o critério de Morgan aplicado sobre escores brutos, que apenas verifica se o vigor supera as cinco subescalas negativas. Nesta amostra, quatro dessas subescalas têm mediana zero, de modo que a condição é satisfeita com facilidade e o percentual infla. Esse critério não classifica nos seis perfis e não deveria ter sido apresentado ao lado deles como se fosse a mesma coisa.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A consequência é séria e vai além do número.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A conclusão que os manuscritos sustentavam até aqui, a de que a faixa de risco permanece estável ao longo da semana, decorre da série errada. Pela classificação correta, a faixa de risco sobe de 26,2% para 43,5% das observações, um ganho de 17,3 pontos percentuais, com o perfil barbatana de tubarão a saltar de 2,4% para 28,3%. A equipe não apenas perde o padrão favorável: ela migra para os perfis que a literatura associa a risco.</w:t>
      </w:r>
    </w:p>
    <w:p>
      <w:pPr>
        <w:pStyle w:val="Heading1"/>
      </w:pPr>
      <w:r>
        <w:t>2 O QUE A AUDITORIA VARREU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Foram varridos dezoito documentos, entre os sete gerados neste projeto e os onze enviados originalmente, mais o organograma em página web. O procedimento extrai cada parágrafo e cada linha de tabela, recorta os trechos que citam um perfil junto de um número e os agrupa por documento. O código está em scripts/auditoria/perfis.py e pode ser executado de novo a qualquer momento.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varredura encontrou três séries distintas de classificação, e não duas. Elas estão na Tabela 1, com a regra de cada uma e o documento de origem.</w:t>
      </w:r>
    </w:p>
    <w:p>
      <w:pPr>
        <w:spacing w:line="240" w:lineRule="auto" w:after="6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Tabela 1 - As quatro séries de classificação, com a regra de cada uma e a origem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Série</w:t>
            </w:r>
          </w:p>
        </w:tc>
        <w:tc>
          <w:tcPr>
            <w:tcW w:type="dxa" w:w="181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Regra de classificação</w:t>
            </w:r>
          </w:p>
        </w:tc>
        <w:tc>
          <w:tcPr>
            <w:tcW w:type="dxa" w:w="181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Documento de origem</w:t>
            </w:r>
          </w:p>
        </w:tc>
        <w:tc>
          <w:tcPr>
            <w:tcW w:type="dxa" w:w="181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Iceberg no dia 1</w:t>
            </w:r>
          </w:p>
        </w:tc>
        <w:tc>
          <w:tcPr>
            <w:tcW w:type="dxa" w:w="181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Iceberg no dia 7</w:t>
            </w:r>
          </w:p>
        </w:tc>
      </w:tr>
      <w:tr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A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Escores convertidos em T, com média 50 e desvio 10, e atribuição pela forma do perfil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Artigo_Perfil_de_humor__handebol.docx, Tabela 12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40,5%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17,4%</w:t>
            </w:r>
          </w:p>
        </w:tc>
      </w:tr>
      <w:tr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B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Padronização dentro da própria amostra e atribuição ao centroide canônico mais próximo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Artigo_Final_.docx, Tabela 21, e duas cópias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21,4%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6,5%</w:t>
            </w:r>
          </w:p>
        </w:tc>
      </w:tr>
      <w:tr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C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Critério de Morgan sobre escores brutos: vigor acima das cinco subescalas negativas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Artigo_Final_.docx, Tabela 20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71,4%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32,6%</w:t>
            </w:r>
          </w:p>
        </w:tc>
      </w:tr>
      <w:tr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D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Escores convertidos em T contra a própria amostra e atribuição ao centroide publicado mais próximo, com os centroides da Amostra A de Parsons-Smith, Terry e Machin (2017)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Calculada da base bruta por scripts/comum/classificar.py, sobre 452 observações de 27 atletas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38,1%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21,7%</w:t>
            </w:r>
          </w:p>
        </w:tc>
      </w:tr>
    </w:tbl>
    <w:p>
      <w:pPr>
        <w:spacing w:line="240" w:lineRule="auto" w:after="2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16"/>
        </w:rPr>
        <w:t>Fonte: auditoria dos documentos do projeto (2026).</w:t>
      </w:r>
    </w:p>
    <w:p>
      <w:pPr>
        <w:spacing w:line="240" w:lineRule="auto" w:after="120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6"/>
        </w:rPr>
        <w:t>Nota: a série C não classifica nos seis perfis. Ela apenas separa iceberg de não iceberg pela ordem entre o vigor e as cinco negativas, sobre escores brutos. Como quatro dessas subescalas têm mediana zero nesta amostra, a condição é satisfeita com facilidade, e por isso a série C produz o valor mais alto das quatro. Ela não é comparável às demais. A série D é a adotada: é a única calculada a partir da base de respostas por atleta e por dia, a única cujo procedimento está inteiramente declarado, e a única que existe nos sete dias e não apenas nas duas pontas. As séries A, B e C ficam registradas como histórico.</w:t>
      </w:r>
    </w:p>
    <w:p>
      <w:pPr>
        <w:pStyle w:val="Heading1"/>
      </w:pPr>
      <w:r>
        <w:t>3 ONDE AS DUAS CLASSIFICAÇÕES DIVERGEM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Tabela 2 compara perfil a perfil. O detalhe mais informativo dela é o que não diverge: submerso e iceberg invertido têm exatamente os mesmos valores nas duas séries, nos dois dias. Isso demonstra que os dados de entrada são os mesmos e que a divergência está na regra de fronteira entre perfis, não na coleta nem no cálculo dos escores.</w:t>
      </w:r>
    </w:p>
    <w:p>
      <w:pPr>
        <w:spacing w:line="240" w:lineRule="auto" w:after="6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Tabela 2 - Comparação perfil a perfil entre a série A e a série B, no primeiro e no último dia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3"/>
              </w:rPr>
              <w:t>Perfil</w:t>
            </w:r>
          </w:p>
        </w:tc>
        <w:tc>
          <w:tcPr>
            <w:tcW w:type="dxa" w:w="1296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3"/>
              </w:rPr>
              <w:t>Dia 1, série A</w:t>
            </w:r>
          </w:p>
        </w:tc>
        <w:tc>
          <w:tcPr>
            <w:tcW w:type="dxa" w:w="1296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3"/>
              </w:rPr>
              <w:t>Dia 1, série B</w:t>
            </w:r>
          </w:p>
        </w:tc>
        <w:tc>
          <w:tcPr>
            <w:tcW w:type="dxa" w:w="1296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3"/>
              </w:rPr>
              <w:t>Diferença</w:t>
            </w:r>
          </w:p>
        </w:tc>
        <w:tc>
          <w:tcPr>
            <w:tcW w:type="dxa" w:w="1296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3"/>
              </w:rPr>
              <w:t>Dia 7, série A</w:t>
            </w:r>
          </w:p>
        </w:tc>
        <w:tc>
          <w:tcPr>
            <w:tcW w:type="dxa" w:w="1296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3"/>
              </w:rPr>
              <w:t>Dia 7, série B</w:t>
            </w:r>
          </w:p>
        </w:tc>
        <w:tc>
          <w:tcPr>
            <w:tcW w:type="dxa" w:w="1296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3"/>
              </w:rPr>
              <w:t>Diferença</w:t>
            </w:r>
          </w:p>
        </w:tc>
      </w:tr>
      <w:tr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Iceberg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40,5%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21,4%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+19,1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17,4%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6,5%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+10,9</w:t>
            </w:r>
          </w:p>
        </w:tc>
      </w:tr>
      <w:tr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Superfície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26,2%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47,6%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−21,4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28,3%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60,9%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−32,6</w:t>
            </w:r>
          </w:p>
        </w:tc>
      </w:tr>
      <w:tr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Everest invertido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14,3%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4,8%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+9,5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8,7%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4,3%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+4,4</w:t>
            </w:r>
          </w:p>
        </w:tc>
      </w:tr>
      <w:tr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Iceberg invertido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9,5%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9,5%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+0,0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6,5%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6,5%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+0,0</w:t>
            </w:r>
          </w:p>
        </w:tc>
      </w:tr>
      <w:tr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Submerso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7,1%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7,1%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+0,0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10,9%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10,9%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+0,0</w:t>
            </w:r>
          </w:p>
        </w:tc>
      </w:tr>
      <w:tr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Barbatana de tubarão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2,4%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9,5%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−7,1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28,3%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10,9%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+17,4</w:t>
            </w:r>
          </w:p>
        </w:tc>
      </w:tr>
    </w:tbl>
    <w:p>
      <w:pPr>
        <w:spacing w:line="240" w:lineRule="auto" w:after="2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16"/>
        </w:rPr>
        <w:t>Fonte: auditoria dos documentos do projeto (2026).</w:t>
      </w:r>
    </w:p>
    <w:p>
      <w:pPr>
        <w:spacing w:line="240" w:lineRule="auto" w:after="120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6"/>
        </w:rPr>
        <w:t>Nota: submerso e iceberg invertido são idênticos nas duas séries, nos dois dias. Toda a divergência se concentra em quatro perfis. Isso indica que os dados de entrada são os mesmos e que a diferença está na regra de fronteira, não na coleta.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divergência se concentra em quatro perfis. A série B empurra 21,4 pontos percentuais a mais para o perfil superfície no dia 1 e 32,6 pontos a mais no dia 7, e retira essa massa sobretudo do iceberg, do Everest invertido e, no dia 7, da barbatana de tubarão. Esse é o comportamento esperado de uma atribuição por centroide mais próximo sobre escores padronizados internamente: a média do próprio grupo passa a ser a linha de água e as observações se comprimem em direção ao centro, que é justamente onde fica o centroide do perfil superfície.</w:t>
      </w:r>
    </w:p>
    <w:p>
      <w:pPr>
        <w:pStyle w:val="Heading1"/>
      </w:pPr>
      <w:r>
        <w:t>4 POR QUE A SÉRIE A DEVE PREVALECER</w:t>
      </w:r>
    </w:p>
    <w:p>
      <w:pPr>
        <w:pStyle w:val="ListBullet"/>
        <w:spacing w:line="240" w:lineRule="auto" w:after="40"/>
        <w:ind w:left="567" w:hanging="227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Ela segue o procedimento da literatura.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O método declarado converte os escores em T, com média 50 e desvio 10, que é a escala sobre a qual os seis perfis foram definidos. A série B abandona essa escala por não haver normas populacionais e substitui a regra de forma por proximidade a centroide.</w:t>
      </w:r>
    </w:p>
    <w:p>
      <w:pPr>
        <w:pStyle w:val="ListBullet"/>
        <w:spacing w:line="240" w:lineRule="auto" w:after="40"/>
        <w:ind w:left="567" w:hanging="227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Ela reproduz a forma esperada dos perfis.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A prevalência do iceberg em repouso, de 40,5%, é da mesma ordem dos 29,4% da amostra normativa. A série B produz 21,4% de iceberg e 47,6% de superfície, contra 14,8% de superfície na norma, o que é um afastamento de 32,8 pontos percentuais sem explicação substantiva.</w:t>
      </w:r>
    </w:p>
    <w:p>
      <w:pPr>
        <w:pStyle w:val="ListBullet"/>
        <w:spacing w:line="240" w:lineRule="auto" w:after="40"/>
        <w:ind w:left="567" w:hanging="227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Ela mostra o perfil que a teoria prevê para o fim de uma semana de carga.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A barbatana de tubarão, definida pelo vigor mais baixo de todos os perfis com fadiga alta, salta de 2,4% para 28,3% e se torna o perfil mais frequente do último dia, empatado com superfície. É exatamente o desfecho que o eixo vigor e fadiga desta amostra faz esperar, com o vigor em queda de 7,61 para 4,49 e a fadiga em alta de 3,96 para 7,46.</w:t>
      </w:r>
    </w:p>
    <w:p>
      <w:pPr>
        <w:pStyle w:val="ListBullet"/>
        <w:spacing w:line="240" w:lineRule="auto" w:after="40"/>
        <w:ind w:left="567" w:hanging="227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A comparação externa fica coerente.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A faixa de risco no dia 1 é de 26,2%, quase idêntica aos 26,5% relatados na amostra brasileira de 898 atletas classificada pelos mesmos seis perfis. Pela série B a faixa de risco seria de 23,8% e a comparação também funcionaria, mas ao custo de uma distribuição interna que não se parece com nenhuma amostra publicada.</w:t>
      </w:r>
    </w:p>
    <w:p>
      <w:pPr>
        <w:spacing w:line="240" w:lineRule="auto" w:after="6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Tabela 3 - Faixas de significado nas duas séries: a conclusão substantiva se inverte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3"/>
              </w:rPr>
              <w:t>Faixa</w:t>
            </w:r>
          </w:p>
        </w:tc>
        <w:tc>
          <w:tcPr>
            <w:tcW w:type="dxa" w:w="1296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3"/>
              </w:rPr>
              <w:t>Série A, dia 1</w:t>
            </w:r>
          </w:p>
        </w:tc>
        <w:tc>
          <w:tcPr>
            <w:tcW w:type="dxa" w:w="1296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3"/>
              </w:rPr>
              <w:t>Série A, dia 7</w:t>
            </w:r>
          </w:p>
        </w:tc>
        <w:tc>
          <w:tcPr>
            <w:tcW w:type="dxa" w:w="1296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3"/>
              </w:rPr>
              <w:t>Série A, diferença</w:t>
            </w:r>
          </w:p>
        </w:tc>
        <w:tc>
          <w:tcPr>
            <w:tcW w:type="dxa" w:w="1296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3"/>
              </w:rPr>
              <w:t>Série B, dia 1</w:t>
            </w:r>
          </w:p>
        </w:tc>
        <w:tc>
          <w:tcPr>
            <w:tcW w:type="dxa" w:w="1296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3"/>
              </w:rPr>
              <w:t>Série B, dia 7</w:t>
            </w:r>
          </w:p>
        </w:tc>
        <w:tc>
          <w:tcPr>
            <w:tcW w:type="dxa" w:w="1296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3"/>
              </w:rPr>
              <w:t>Série B, diferença</w:t>
            </w:r>
          </w:p>
        </w:tc>
      </w:tr>
      <w:tr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Favorável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40,5%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17,4%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−23,1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21,4%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6,5%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−14,9</w:t>
            </w:r>
          </w:p>
        </w:tc>
      </w:tr>
      <w:tr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Neutro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33,3%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39,2%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+5,9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54,7%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71,8%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+17,1</w:t>
            </w:r>
          </w:p>
        </w:tc>
      </w:tr>
      <w:tr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De risco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26,2%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43,5%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+17,3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23,8%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21,7%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−2,1</w:t>
            </w:r>
          </w:p>
        </w:tc>
      </w:tr>
    </w:tbl>
    <w:p>
      <w:pPr>
        <w:spacing w:line="240" w:lineRule="auto" w:after="2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16"/>
        </w:rPr>
        <w:t>Fonte: auditoria dos documentos do projeto (2026).</w:t>
      </w:r>
    </w:p>
    <w:p>
      <w:pPr>
        <w:spacing w:line="240" w:lineRule="auto" w:after="120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6"/>
        </w:rPr>
        <w:t>Nota: a faixa favorável reúne o perfil iceberg; a neutra reúne superfície e submerso; a de risco reúne barbatana de tubarão, iceberg invertido e Everest invertido, que são os três perfis que a literatura associa a risco à saúde mental. Pela série A a faixa de risco sobe 17,3 pontos percentuais ao longo da semana; pela série B ela cai 2,1 pontos. As duas séries levam a recomendações opostas.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Tabela 3 mostra por que a escolha da série não é um detalhe de método. Pela série A a equipe termina a semana com 43,5% das observações em perfil de risco, quase o dobro do início. Pela série B a faixa de risco fica estável e a conclusão vira outra, a de que a semana apenas dissolve o padrão favorável na indiferenciação. A primeira leitura pede intervenção na carga e conversa individual com quase metade do elenco na véspera do jogo. A segunda pede ajuste fino. São recomendações opostas a partir do mesmo conjunto de dados.</w:t>
      </w:r>
    </w:p>
    <w:p>
      <w:pPr>
        <w:pStyle w:val="Heading1"/>
      </w:pPr>
      <w:r>
        <w:t>5 O QUE AINDA NÃO FECHA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auditoria resolve a pergunta sobre qual série usar, mas não resolve os denominadores. A Tabela 4 reúne o que cada fonte declara.</w:t>
      </w:r>
    </w:p>
    <w:p>
      <w:pPr>
        <w:spacing w:line="240" w:lineRule="auto" w:after="6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Tabela 4 - Denominadores declarados em cada fonte, e a incoerência entre eles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Fonte</w:t>
            </w:r>
          </w:p>
        </w:tc>
        <w:tc>
          <w:tcPr>
            <w:tcW w:type="dxa" w:w="2268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Dia 1</w:t>
            </w:r>
          </w:p>
        </w:tc>
        <w:tc>
          <w:tcPr>
            <w:tcW w:type="dxa" w:w="2268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Dia 7</w:t>
            </w:r>
          </w:p>
        </w:tc>
        <w:tc>
          <w:tcPr>
            <w:tcW w:type="dxa" w:w="2268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Observação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Tabela 12, série A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42 observações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46 observações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Base das percentagens da série A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Tabela 52 do relatório completo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27 atletas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21 atletas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Contagem de atletas com coleta válida no dia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Esquema do delineamento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27 atletas, 1 coleta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27 atletas, 2 coletas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Máximo teórico de 27 no dia 1 e de 54 no dia 7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Resumo do manuscrito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456 observações no total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O desenho declarado comportaria no máximo 351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Base bruta, série D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42 observações, 27 atletas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46 observações, 21 atletas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457 respostas registradas, 452 analisáveis</w:t>
            </w:r>
          </w:p>
        </w:tc>
      </w:tr>
    </w:tbl>
    <w:p>
      <w:pPr>
        <w:spacing w:line="240" w:lineRule="auto" w:after="2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16"/>
        </w:rPr>
        <w:t>Fonte: auditoria dos documentos do projeto (2026).</w:t>
      </w:r>
    </w:p>
    <w:p>
      <w:pPr>
        <w:spacing w:line="240" w:lineRule="auto" w:after="120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6"/>
        </w:rPr>
        <w:t>Nota: a base de respostas por atleta e por dia resolveu a incoerência. Ela contém 457 registros entre 21 e 27 de abril de 2024, dos quais 4 sem identificação do atleta e 1 fora da janela de sete dias, o que deixa 88 observações nos dois dias extremos e 452 na semana. Os denominadores da série A, de 42 e 46, batem exatamente com os da base, o que confirma que aquela série foi calculada sobre estes mesmos dados. O que não se sustenta é a descrição do delineamento: o dia 1 não teve coleta única, teve 42 respostas de 27 atletas, isto é, 1,6 por atleta, e o número de coletas por dia variou ao longo da semana. A seção de método do manuscrito foi corrigida para descrever a coleta como ela ocorreu.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Enquanto o fluxo de dados não for publicado, com atletas por dia e por coleta, qualquer percentual permanece provisório na terceira casa. A ordem de grandeza e a direção do movimento, porém, não dependem disso: a contagem bruta da série A é de 17 observações em iceberg no dia 1 contra 8 no dia 7, e de 1 observação em barbatana de tubarão no dia 1 contra 13 no dia 7. Essa mudança de contagem é grande demais para ser artefato de denominador.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Há ainda um quarto conjunto de valores que a auditoria não conseguiu localizar. A captura de tela enviada pelo orientador menciona iceberg de 48% para 22% e barbatana de tubarão de 4% para 22%. Nenhum documento do projeto contém esses valores. A direção do movimento coincide com a série A, mas os números não. É preciso saber de qual análise essa tela saiu antes de considerá-la uma quarta série.</w:t>
      </w:r>
    </w:p>
    <w:p>
      <w:pPr>
        <w:pStyle w:val="Heading1"/>
      </w:pPr>
      <w:r>
        <w:t>6 O QUE FOI CORRIGIDO E O QUE FALTA</w:t>
      </w:r>
    </w:p>
    <w:p>
      <w:pPr>
        <w:pStyle w:val="ListBullet"/>
        <w:spacing w:line="240" w:lineRule="auto" w:after="40"/>
        <w:ind w:left="567" w:hanging="227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Corrigido.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Os manuscritos passam a usar a série A para os seis perfis, com iceberg de 40,5% para 17,4% e barbatana de tubarão de 2,4% para 28,3%.</w:t>
      </w:r>
    </w:p>
    <w:p>
      <w:pPr>
        <w:pStyle w:val="ListBullet"/>
        <w:spacing w:line="240" w:lineRule="auto" w:after="40"/>
        <w:ind w:left="567" w:hanging="227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Corrigido.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A conclusão sobre a faixa de risco foi invertida: ela sobe 17,3 pontos percentuais, e não permanece estável.</w:t>
      </w:r>
    </w:p>
    <w:p>
      <w:pPr>
        <w:pStyle w:val="ListBullet"/>
        <w:spacing w:line="240" w:lineRule="auto" w:after="40"/>
        <w:ind w:left="567" w:hanging="227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Corrigido.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O critério de Morgan passa a aparecer apenas como contraponto declarado, com a ressalva de que o efeito piso o infla, e nunca ao lado dos seis perfis como se fosse equivalente.</w:t>
      </w:r>
    </w:p>
    <w:p>
      <w:pPr>
        <w:pStyle w:val="ListBullet"/>
        <w:spacing w:line="240" w:lineRule="auto" w:after="40"/>
        <w:ind w:left="567" w:hanging="227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Falta.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A série A só existe para o dia 1 e para o dia 7. Não há classificação por perfil nos dias 2 a 6 nem separação entre dias com e sem HIIT. A curva diária dos perfis exige recomputar a classificação a partir dos dados brutos.</w:t>
      </w:r>
    </w:p>
    <w:p>
      <w:pPr>
        <w:pStyle w:val="ListBullet"/>
        <w:spacing w:line="240" w:lineRule="auto" w:after="40"/>
        <w:ind w:left="567" w:hanging="227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Falta.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O denominador de cada dia, que a Tabela 4 mostra incoerente entre as fontes.</w:t>
      </w:r>
    </w:p>
    <w:p>
      <w:pPr>
        <w:pStyle w:val="ListBullet"/>
        <w:spacing w:line="240" w:lineRule="auto" w:after="40"/>
        <w:ind w:left="567" w:hanging="227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Falta.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A origem dos valores de 48% e 22% da captura de tela.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 w:line="24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ap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4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aps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 w:line="24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aps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