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resumida para apreciação)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a dinâmica do humor de atletas de handebol de elite ao longo de um microciclo pré-competitivo, com ênfase nos perfis de humor e no eixo energia–fadiga.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Aplicaram-se estatística descritiva, consistência interna, classificação dos seis perfis de humor e comparação entre dias e entre pré e pós-treino, sempre com o cálculo do tamanho e da magnitude do efeito.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psicológico consolidou-se como parte da gestão do treinamento no esporte de rendimento. Os instrumentos de autorrelato do humor são práticos, econômicos e sensíveis às variações da carga, e mostram utilidade para o acompanhamento do bem-estar e do desempenho (SAW; MAIN; GASTIN, 2016; LOCHBAUM et al., 2021). Por esse motivo, documentos de consenso recomendam o seu uso rotineiro para vigiar a fadiga e orientar as decisões de treino e recuperação (KELLMANN et al., 2018). Entre as dimensões avaliadas, o vigor e a fadiga formam o eixo mais responsivo à carga e sustentam boa parte do valor prático do monitoramento.</w:t>
      </w:r>
    </w:p>
    <w:p>
      <w:pPr>
        <w:spacing w:line="360" w:lineRule="auto" w:after="0"/>
        <w:ind w:firstLine="709"/>
        <w:jc w:val="both"/>
      </w:pPr>
      <w:r>
        <w:rPr>
          <w:b w:val="0"/>
          <w:sz w:val="24"/>
        </w:rPr>
        <w:t>A Escala de Humor de Brunel (BRUMS) mede seis dimensões do humor, a saber, tensão, depressão, raiva, vigor, fadiga e confusão, e dispõe de validação para o português (TERRY; LANE; FOGARTY, 2003; ROHLFS et al., 2008). A partir dessas dimensões, Terry e colaboradores descreveram seis perfis de humor que resumem o estado do atleta em um único quadro, entre os quais o perfil iceberg, que exprime prontidão, e a barbatana de tubarão, que sinaliza fadiga com vigor ainda preservado (MORGAN, 1985; PARSONS-SMITH; TERRY; MACHIN, 2017; TERRY et al., 2021). A leitura por perfis aproxima o dado psicométrico da linguagem do treinador e facilita a tomada de decisão (HAN; PARSONS-SMITH; TERRY, 2020).</w:t>
      </w:r>
    </w:p>
    <w:p>
      <w:pPr>
        <w:spacing w:line="360" w:lineRule="auto" w:after="0"/>
        <w:ind w:firstLine="709"/>
        <w:jc w:val="both"/>
      </w:pPr>
      <w:r>
        <w:rPr>
          <w:b w:val="0"/>
          <w:sz w:val="24"/>
        </w:rPr>
        <w:t>O handebol é uma modalidade coletiva intermitente de alta intensidade, com sprints curtos, mudanças de direção, saltos e contato físico, o que impõe elevada demanda neuromuscular e psicofisiológica ao longo da semana de treino (KARCHER; BUCHHEIT, 2014; GARCÍA-SÁNCHEZ et al., 2023). Nesse contexto, a acumulação de carga tende a corroer o vigor e a elevar a fadiga, um padrão que, quando controlado, caracteriza o sobre-esforço funcional e antecede a recuperação planejada (THORPE et al., 2017; ROETE et al., 2021). O acompanhamento do humor oferece, assim, um marcador sensível e de baixo custo para essa janela.</w:t>
      </w:r>
    </w:p>
    <w:p>
      <w:pPr>
        <w:spacing w:line="360" w:lineRule="auto" w:after="0"/>
        <w:ind w:firstLine="709"/>
        <w:jc w:val="both"/>
      </w:pPr>
      <w:r>
        <w:rPr>
          <w:b w:val="0"/>
          <w:sz w:val="24"/>
        </w:rPr>
        <w:t>Apesar do interesse crescente, poucos estudos descrevem a migração dos perfis de humor dentro de um microciclo de handebol de elite, com coletas pré e pós-treino que capturam também a variação dentro do dia. O presente trabalho reúne essa descrição em um formato direto e visual, de modo a evidenciar como o par vigor–fadiga governa a mudança do estado do atleta e como os perfis se reconfiguram entre o início e o fim da semana (DE MIRANDA ROHLFS et al., 2024).</w:t>
      </w:r>
    </w:p>
    <w:p>
      <w:pPr>
        <w:spacing w:before="200" w:after="80" w:line="360" w:lineRule="auto"/>
      </w:pPr>
      <w:r>
        <w:rPr>
          <w:b/>
          <w:sz w:val="24"/>
        </w:rPr>
        <w:t>2 OBJETIVO</w:t>
      </w:r>
    </w:p>
    <w:p>
      <w:pPr>
        <w:spacing w:line="360" w:lineRule="auto" w:after="0"/>
        <w:ind w:firstLine="709"/>
        <w:jc w:val="both"/>
      </w:pPr>
      <w:r>
        <w:rPr>
          <w:b w:val="0"/>
          <w:sz w:val="24"/>
        </w:rPr>
        <w:t>Descrever e caracterizar a dinâmica do humor de atletas de handebol de elite ao longo de um microciclo pré-competitivo, com destaque para o comportamento dos seis perfis de humor, para a mudança entre o primeiro e o último dia, para a variação entre pré e pós-treino e para a magnitude dos efeitos ao longo da semana.</w:t>
      </w:r>
    </w:p>
    <w:p>
      <w:pPr>
        <w:spacing w:before="200" w:after="80" w:line="360" w:lineRule="auto"/>
      </w:pPr>
      <w:r>
        <w:rPr>
          <w:b/>
          <w:sz w:val="24"/>
        </w:rPr>
        <w:t>3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Adotou-se nível de significância de 5%.</w:t>
      </w:r>
    </w:p>
    <w:p>
      <w:pPr>
        <w:spacing w:before="200" w:after="80" w:line="360" w:lineRule="auto"/>
      </w:pPr>
      <w:r>
        <w:rPr>
          <w:b/>
          <w:sz w:val="24"/>
        </w:rPr>
        <w:t>4 RESULTADOS</w:t>
      </w:r>
    </w:p>
    <w:p>
      <w:pPr>
        <w:spacing w:before="120" w:after="80" w:line="360" w:lineRule="auto"/>
      </w:pPr>
      <w:r>
        <w:rPr>
          <w:b/>
          <w:sz w:val="24"/>
        </w:rPr>
        <w:t>4.1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1 apresenta os diagramas de caixa das seis dimensões, em ordem canônica, com a mediana e a média de cada uma na mesma figura. O vigor e a fadiga ocupam a maior parte da escala e apresentam média e mediana próximas, sinal de distribuições razoavelmente simétricas, ao passo que as dimensões negativas se concentram junto ao zero, com a média acima da mediana, o que revela assimetria positiva e um efeito de piso.</w:t>
      </w:r>
    </w:p>
    <w:p>
      <w:pPr>
        <w:spacing w:before="120"/>
        <w:jc w:val="center"/>
      </w:pPr>
      <w:r>
        <w:drawing>
          <wp:inline xmlns:a="http://schemas.openxmlformats.org/drawingml/2006/main" xmlns:pic="http://schemas.openxmlformats.org/drawingml/2006/picture">
            <wp:extent cx="4680000" cy="1860000"/>
            <wp:docPr id="1" name="Picture 1"/>
            <wp:cNvGraphicFramePr>
              <a:graphicFrameLocks noChangeAspect="1"/>
            </wp:cNvGraphicFramePr>
            <a:graphic>
              <a:graphicData uri="http://schemas.openxmlformats.org/drawingml/2006/picture">
                <pic:pic>
                  <pic:nvPicPr>
                    <pic:cNvPr id="0" name="box_humor.png"/>
                    <pic:cNvPicPr/>
                  </pic:nvPicPr>
                  <pic:blipFill>
                    <a:blip r:embed="rId9"/>
                    <a:stretch>
                      <a:fillRect/>
                    </a:stretch>
                  </pic:blipFill>
                  <pic:spPr>
                    <a:xfrm>
                      <a:off x="0" y="0"/>
                      <a:ext cx="4680000" cy="1860000"/>
                    </a:xfrm>
                    <a:prstGeom prst="rect"/>
                  </pic:spPr>
                </pic:pic>
              </a:graphicData>
            </a:graphic>
          </wp:inline>
        </w:drawing>
      </w:r>
    </w:p>
    <w:p>
      <w:pPr>
        <w:jc w:val="center"/>
      </w:pPr>
      <w:r>
        <w:rPr>
          <w:sz w:val="22"/>
        </w:rPr>
        <w:t>Figura 1 – Diagramas de caixa das seis dimensões do BRUMS, em ordem canônica, com a mediana (linha sólida) e a média (linha tracejada e losango) de cada dimensão.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fraca;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4.2 Perfis de humor e sua migração</w:t>
      </w:r>
    </w:p>
    <w:p>
      <w:pPr>
        <w:spacing w:line="360" w:lineRule="auto" w:after="0"/>
        <w:ind w:firstLine="709"/>
        <w:jc w:val="both"/>
      </w:pPr>
      <w:r>
        <w:rPr>
          <w:b w:val="0"/>
          <w:sz w:val="24"/>
        </w:rPr>
        <w:t>Os seis perfis de humor descritos na literatura estiveram representados na amostra. A Figura 2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5040000" cy="2741760"/>
            <wp:docPr id="2" name="Picture 2"/>
            <wp:cNvGraphicFramePr>
              <a:graphicFrameLocks noChangeAspect="1"/>
            </wp:cNvGraphicFramePr>
            <a:graphic>
              <a:graphicData uri="http://schemas.openxmlformats.org/drawingml/2006/picture">
                <pic:pic>
                  <pic:nvPicPr>
                    <pic:cNvPr id="0" name="xb6_clusters.png"/>
                    <pic:cNvPicPr/>
                  </pic:nvPicPr>
                  <pic:blipFill>
                    <a:blip r:embed="rId10"/>
                    <a:stretch>
                      <a:fillRect/>
                    </a:stretch>
                  </pic:blipFill>
                  <pic:spPr>
                    <a:xfrm>
                      <a:off x="0" y="0"/>
                      <a:ext cx="5040000" cy="2741760"/>
                    </a:xfrm>
                    <a:prstGeom prst="rect"/>
                  </pic:spPr>
                </pic:pic>
              </a:graphicData>
            </a:graphic>
          </wp:inline>
        </w:drawing>
      </w:r>
    </w:p>
    <w:p>
      <w:pPr>
        <w:jc w:val="center"/>
      </w:pPr>
      <w:r>
        <w:rPr>
          <w:sz w:val="22"/>
        </w:rPr>
        <w:t>Figura 2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3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3" name="Picture 3"/>
            <wp:cNvGraphicFramePr>
              <a:graphicFrameLocks noChangeAspect="1"/>
            </wp:cNvGraphicFramePr>
            <a:graphic>
              <a:graphicData uri="http://schemas.openxmlformats.org/drawingml/2006/picture">
                <pic:pic>
                  <pic:nvPicPr>
                    <pic:cNvPr id="0" name="xb5_profile_d1d7.png"/>
                    <pic:cNvPicPr/>
                  </pic:nvPicPr>
                  <pic:blipFill>
                    <a:blip r:embed="rId11"/>
                    <a:stretch>
                      <a:fillRect/>
                    </a:stretch>
                  </pic:blipFill>
                  <pic:spPr>
                    <a:xfrm>
                      <a:off x="0" y="0"/>
                      <a:ext cx="4680000" cy="2523130"/>
                    </a:xfrm>
                    <a:prstGeom prst="rect"/>
                  </pic:spPr>
                </pic:pic>
              </a:graphicData>
            </a:graphic>
          </wp:inline>
        </w:drawing>
      </w:r>
    </w:p>
    <w:p>
      <w:pPr>
        <w:jc w:val="center"/>
      </w:pPr>
      <w:r>
        <w:rPr>
          <w:sz w:val="22"/>
        </w:rPr>
        <w:t>Figura 3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4.3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4.4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4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5220000" cy="2936250"/>
            <wp:docPr id="4" name="Picture 4"/>
            <wp:cNvGraphicFramePr>
              <a:graphicFrameLocks noChangeAspect="1"/>
            </wp:cNvGraphicFramePr>
            <a:graphic>
              <a:graphicData uri="http://schemas.openxmlformats.org/drawingml/2006/picture">
                <pic:pic>
                  <pic:nvPicPr>
                    <pic:cNvPr id="0" name="abnt_f1_trajetoria.png"/>
                    <pic:cNvPicPr/>
                  </pic:nvPicPr>
                  <pic:blipFill>
                    <a:blip r:embed="rId12"/>
                    <a:stretch>
                      <a:fillRect/>
                    </a:stretch>
                  </pic:blipFill>
                  <pic:spPr>
                    <a:xfrm>
                      <a:off x="0" y="0"/>
                      <a:ext cx="5220000" cy="2936250"/>
                    </a:xfrm>
                    <a:prstGeom prst="rect"/>
                  </pic:spPr>
                </pic:pic>
              </a:graphicData>
            </a:graphic>
          </wp:inline>
        </w:drawing>
      </w:r>
    </w:p>
    <w:p>
      <w:pPr>
        <w:jc w:val="center"/>
      </w:pPr>
      <w:r>
        <w:rPr>
          <w:sz w:val="22"/>
        </w:rPr>
        <w:t>Figura 4 – Trajetória de vigor, fadiga e perturbação total do humor ao longo dos sete dias.</w:t>
      </w:r>
    </w:p>
    <w:p>
      <w:pPr>
        <w:spacing w:after="120"/>
        <w:jc w:val="center"/>
      </w:pPr>
      <w:r>
        <w:rPr>
          <w:sz w:val="18"/>
        </w:rPr>
        <w:t>Fonte: elaboração dos autores (2026).</w:t>
      </w:r>
    </w:p>
    <w:p>
      <w:pPr>
        <w:spacing w:line="360" w:lineRule="auto" w:after="0"/>
        <w:ind w:firstLine="709"/>
        <w:jc w:val="both"/>
      </w:pPr>
      <w:r>
        <w:rPr>
          <w:b w:val="0"/>
          <w:sz w:val="24"/>
        </w:rPr>
        <w:t>A Figura 5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5" name="Picture 5"/>
            <wp:cNvGraphicFramePr>
              <a:graphicFrameLocks noChangeAspect="1"/>
            </wp:cNvGraphicFramePr>
            <a:graphic>
              <a:graphicData uri="http://schemas.openxmlformats.org/drawingml/2006/picture">
                <pic:pic>
                  <pic:nvPicPr>
                    <pic:cNvPr id="0" name="xb3_box.png"/>
                    <pic:cNvPicPr/>
                  </pic:nvPicPr>
                  <pic:blipFill>
                    <a:blip r:embed="rId13"/>
                    <a:stretch>
                      <a:fillRect/>
                    </a:stretch>
                  </pic:blipFill>
                  <pic:spPr>
                    <a:xfrm>
                      <a:off x="0" y="0"/>
                      <a:ext cx="5400000" cy="2630769"/>
                    </a:xfrm>
                    <a:prstGeom prst="rect"/>
                  </pic:spPr>
                </pic:pic>
              </a:graphicData>
            </a:graphic>
          </wp:inline>
        </w:drawing>
      </w:r>
    </w:p>
    <w:p>
      <w:pPr>
        <w:jc w:val="center"/>
      </w:pPr>
      <w:r>
        <w:rPr>
          <w:sz w:val="22"/>
        </w:rPr>
        <w:t>Figura 5 – Diagramas de caixa das seis dimensões do BRUMS por dia do microciclo (áreas sombreadas: início e acúmulo da semana).</w:t>
      </w:r>
    </w:p>
    <w:p>
      <w:pPr>
        <w:spacing w:after="120"/>
        <w:jc w:val="center"/>
      </w:pPr>
      <w:r>
        <w:rPr>
          <w:sz w:val="18"/>
        </w:rPr>
        <w:t>Fonte: elaboração dos autores (2026).</w:t>
      </w:r>
    </w:p>
    <w:p>
      <w:pPr>
        <w:spacing w:before="120" w:after="80" w:line="360" w:lineRule="auto"/>
      </w:pPr>
      <w:r>
        <w:rPr>
          <w:b/>
          <w:sz w:val="24"/>
        </w:rPr>
        <w:t>4.5 Dias de pico e comparação de cada dia ao primeiro</w:t>
      </w:r>
    </w:p>
    <w:p>
      <w:pPr>
        <w:spacing w:line="360" w:lineRule="auto" w:after="0"/>
        <w:ind w:firstLine="709"/>
        <w:jc w:val="both"/>
      </w:pPr>
      <w:r>
        <w:rPr>
          <w:b w:val="0"/>
          <w:sz w:val="24"/>
        </w:rPr>
        <w:t>A localização dos picos sintetiza a dinâmica semanal (Tabela 7).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7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8; Figura 6),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8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474667"/>
            <wp:docPr id="6" name="Picture 6"/>
            <wp:cNvGraphicFramePr>
              <a:graphicFrameLocks noChangeAspect="1"/>
            </wp:cNvGraphicFramePr>
            <a:graphic>
              <a:graphicData uri="http://schemas.openxmlformats.org/drawingml/2006/picture">
                <pic:pic>
                  <pic:nvPicPr>
                    <pic:cNvPr id="0" name="ph_emm.png"/>
                    <pic:cNvPicPr/>
                  </pic:nvPicPr>
                  <pic:blipFill>
                    <a:blip r:embed="rId14"/>
                    <a:stretch>
                      <a:fillRect/>
                    </a:stretch>
                  </pic:blipFill>
                  <pic:spPr>
                    <a:xfrm>
                      <a:off x="0" y="0"/>
                      <a:ext cx="5220000" cy="2474667"/>
                    </a:xfrm>
                    <a:prstGeom prst="rect"/>
                  </pic:spPr>
                </pic:pic>
              </a:graphicData>
            </a:graphic>
          </wp:inline>
        </w:drawing>
      </w:r>
    </w:p>
    <w:p>
      <w:pPr>
        <w:jc w:val="center"/>
      </w:pPr>
      <w:r>
        <w:rPr>
          <w:sz w:val="22"/>
        </w:rPr>
        <w:t>Figura 6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4.6 Variação entre pré e pós-treino (Wilcoxon)</w:t>
      </w:r>
    </w:p>
    <w:p>
      <w:pPr>
        <w:spacing w:line="360" w:lineRule="auto" w:after="0"/>
        <w:ind w:firstLine="709"/>
        <w:jc w:val="both"/>
      </w:pPr>
      <w:r>
        <w:rPr>
          <w:b w:val="0"/>
          <w:sz w:val="24"/>
        </w:rPr>
        <w:t>A comparação entre pré e pós-treino pelo teste de Wilcoxon (Tabela 9)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w:t>
      </w:r>
    </w:p>
    <w:p>
      <w:pPr>
        <w:spacing w:before="160" w:after="40"/>
      </w:pPr>
      <w:r>
        <w:rPr>
          <w:sz w:val="22"/>
        </w:rPr>
        <w:t>Tabela 9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936250"/>
            <wp:docPr id="7" name="Picture 7"/>
            <wp:cNvGraphicFramePr>
              <a:graphicFrameLocks noChangeAspect="1"/>
            </wp:cNvGraphicFramePr>
            <a:graphic>
              <a:graphicData uri="http://schemas.openxmlformats.org/drawingml/2006/picture">
                <pic:pic>
                  <pic:nvPicPr>
                    <pic:cNvPr id="0" name="abnt_f_prepos.png"/>
                    <pic:cNvPicPr/>
                  </pic:nvPicPr>
                  <pic:blipFill>
                    <a:blip r:embed="rId15"/>
                    <a:stretch>
                      <a:fillRect/>
                    </a:stretch>
                  </pic:blipFill>
                  <pic:spPr>
                    <a:xfrm>
                      <a:off x="0" y="0"/>
                      <a:ext cx="5220000" cy="2936250"/>
                    </a:xfrm>
                    <a:prstGeom prst="rect"/>
                  </pic:spPr>
                </pic:pic>
              </a:graphicData>
            </a:graphic>
          </wp:inline>
        </w:drawing>
      </w:r>
    </w:p>
    <w:p>
      <w:pPr>
        <w:jc w:val="center"/>
      </w:pPr>
      <w:r>
        <w:rPr>
          <w:sz w:val="22"/>
        </w:rPr>
        <w:t>Figura 7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4.7 Relações entre as dimensões (Spearman)</w:t>
      </w:r>
    </w:p>
    <w:p>
      <w:pPr>
        <w:spacing w:line="360" w:lineRule="auto" w:after="0"/>
        <w:ind w:firstLine="709"/>
        <w:jc w:val="both"/>
      </w:pPr>
      <w:r>
        <w:rPr>
          <w:b w:val="0"/>
          <w:sz w:val="24"/>
        </w:rPr>
        <w:t>As correlações de Spearman entre as dimensões (Tabela 10)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10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before="200" w:after="80" w:line="360" w:lineRule="auto"/>
      </w:pPr>
      <w:r>
        <w:rPr>
          <w:b/>
          <w:sz w:val="24"/>
        </w:rPr>
        <w:t>5 DISCUSSÃO</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num microciclo de handebol, o comportamento já documentado em outras modalidades sob acúmulo de carga, em que o par vigor–fadiga se mostra o mais responsivo e antecede as demais dimensões (PIERCE, 2002; THORPE et al., 2017; FERREIRA et al., 2026).</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não se instalaram. Quando comparados à distribuição de referência de uma grande amostra brasileira, na qual o iceberg predomina e os perfis de risco são raros, os nossos dados partem de um predomínio semelhante de iceberg e elevam a barbatana de tubarão apenas ao fim da semana, o que evidencia o efeito específico do acúmulo de carga sobre o perfil de fadiga (PARSONS-SMITH; TERRY; MACHIN, 2017; DE MIRANDA ROHLFS et al., 2024). Assim, os perfis funcionam como uma linguagem direta de comunicação com a comissão técnica (HAN; PARSONS-SMITH; TERRY, 2020).</w:t>
      </w:r>
    </w:p>
    <w:p>
      <w:pPr>
        <w:spacing w:line="360" w:lineRule="auto" w:after="0"/>
        <w:ind w:firstLine="709"/>
        <w:jc w:val="both"/>
      </w:pPr>
      <w:r>
        <w:rPr>
          <w:b w:val="0"/>
          <w:sz w:val="24"/>
        </w:rPr>
        <w:t>Os tamanhos de efeito reforçam essa interpretação e delimitam o que é relevante no monitoramento. A magnitude foi grande na comparação entre o primeiro e o último dia do vigor e da fadiga, e permaneceu de pequena a moderada nas comparações entre todos os dias e entre pré e pós-treino, sempre concentrada no eixo energia–fadiga. A consistência interna adequada dessas duas dimensões, a sua correlação intraclasse de moderada a boa e a forte associação com a perturbação total do humor convergem para a mesma conclusão por caminhos independentes. As dimensões negativas, concentradas em valores baixos e com menor confiabilidade, contribuíram pouco para a variação, o que recomenda centrar o monitoramento rotineiro no par vigor–fadiga, sem que se abandone o registro das demais dimensões (ROHLFS et al., 2023; TERRY et al., 2021).</w:t>
      </w:r>
    </w:p>
    <w:p>
      <w:pPr>
        <w:spacing w:line="360" w:lineRule="auto" w:after="0"/>
        <w:ind w:firstLine="709"/>
        <w:jc w:val="both"/>
      </w:pPr>
      <w:r>
        <w:rPr>
          <w:b w:val="0"/>
          <w:sz w:val="24"/>
        </w:rPr>
        <w:t>As características do handebol ajudam a explicar esse comportamento. A modalidade impõe esforço intermitente de alta intensidade, com sprints curtos, mudanças de direção, saltos e contato, o que gera elevada demanda neuromuscular e psicofisiológica ao longo da semana e sustenta tanto a tendência de acúmulo quanto a resposta aguda observada entre o pré e o pós-treino (KARCHER; BUCHHEIT, 2014; GARCÍA-SÁNCHEZ et al., 2023). Estudos recentes na modalidade associam a carga a marcadores endócrinos e ao estado de humor e de estresse, o que reforça o valor do acompanhamento subjetivo como um marcador sensível e de baixo custo, complementar ao monitoramento fisiológico e de bem-estar praticado em esportes coletivos (BIRD et al., 2025; RATZ-SULYOK et al., 2026; DO NASCIMENTO et al., 2026).</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visual e direto da dinâmica do humor no handebol de elite e sustenta a recomendação prática de acompanhar o eixo energia–fadiga ao longo da semana, integrado a um monitoramento multidomínio do estado do atleta (KELLMANN et al., 2018;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