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e (x) caracterizar a sonolência e o estresse percebido e sua relação com o humor.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servindo à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Para separar o efeito da aptidão do efeito do tamanho corporal, o pico de velocidade foi ainda submetido a ajuste alométrico: estimou-se o expoente da relação alométrica pela regressão log(PV)–log(massa) e normalizou-se o PV pela massa elevada a esse expoente, comparando-se as associações do PV bruto e do PV normalizado com a fadiga e o vigor. A dinâmica temporal foi ainda modelada ajustando-se uma função polinomial às médias diárias de cada dimensão, da qual se obtiveram, por derivação, a taxa de variação instantânea (derivada primeira), os pontos críticos (máximos e mínimos) e o ponto de inflexão (raiz da derivada segunda).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14).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confirmando que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16 – Modelagem polinomial (grau 3) das médias diárias: qualidade do ajuste (R²), taxa de variação média (pontos/dia), taxa instantânea nas bordas (P′ no Dia 1 e no Dia 7)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R²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Taxa média/dia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P′(Dia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P′(Dia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Inflexão (dia)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-0,64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-3,52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-2,40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+2,23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+2,11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+6,41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3,9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3,9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+1,63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-0,67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+0,03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 instantânea); inflexão = raiz da derivada segunda (P″ = 0) no intervalo.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8461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16; Figura 15). Os ajustes foram excelentes para as variáveis do eixo energia–fadiga (vigor R² = 0,96; fadiga R² = 0,95) e mais fracos para as dimensões negativas próximas do piso (p. ex., depressão R² = 0,42), cuja variância reduzida limita 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4,2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evidenciando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