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√(1 -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S1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S2)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distribuição completa da PTH em cada dia (Figura S3) e a sua distribuição acumulada (Figura S4)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5;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mesma inflexão foi examinada por dois caminhos complementares, detalhados no material suplementar. O painel da segunda derivada localiza o cruzamento por zero de cada curva e realça os extremos com o respectivo valor (Figura S7). Em paralelo, um ajuste polinomial de grau três resume cada trajetória por uma equação e reproduz a inflexão de forma analítica, na raiz da segunda derivada (x = -b/3a), em duas resoluções (Figura S8).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S5),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 A Figura S6 apresenta esses escores por dia e mostra que a diferença entre pré e pós-treino se mantém ao longo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relação entre o vigor e a fadiga, além de negativa, tornou-se mais estreita à medida que a carga se acumulou (Figura 6): a regressão por fase do microciclo mostrou um acoplamento fraco na fase inicial (r = -0,35) e mais forte na fase de acúmulo (r = -0,51), o que sugere que os dois polos do eixo energia–fadiga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reg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Relação entre vigor e fadiga por fase do microciclo, com a reta de regressão de cada grupo (início: dias 1 a 4; acúmulo: dias 5 a 7).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7)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Materiais Suplementares: </w:t>
      </w:r>
      <w:r>
        <w:rPr>
          <w:rFonts w:ascii="Palatino Linotype" w:hAnsi="Palatino Linotype"/>
          <w:sz w:val="18"/>
        </w:rPr>
        <w:t>As figuras suplementares (Figuras S1 a S8) estão disponíveis ao fim deste documento e detalham a distribuição diária das dimensões, as comparações par a par da PTH, os diagramas de violino e a distribuição acumulada, as médias marginais diárias, a resposta pré e pós-treino, a análise por derivadas e o ajuste polinomial das trajetórias.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p>
      <w:pPr>
        <w:spacing w:before="240" w:after="60" w:line="276" w:lineRule="auto"/>
      </w:pPr>
      <w:r>
        <w:rPr>
          <w:rFonts w:ascii="Palatino Linotype" w:hAnsi="Palatino Linotype"/>
          <w:b/>
          <w:sz w:val="20"/>
        </w:rPr>
        <w:t>Material Suplementar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figuras a seguir complementam os resultados do corpo do artigo e detalham a distribuição diária, a resposta aguda pré e pós-treino, as comparações par a par, a análise por derivadas e o ajuste polinomial das trajetórias.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S1.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S2.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46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viol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S3. </w:t>
      </w:r>
      <w:r>
        <w:rPr>
          <w:rFonts w:ascii="Palatino Linotype" w:hAnsi="Palatino Linotype"/>
          <w:sz w:val="18"/>
        </w:rPr>
        <w:t>Distribuição da PTH por dia (diagramas de violino com caixa e média; a escala foi ajustada à faixa central da distribuição para facilitar a leitura).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74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ec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S4. </w:t>
      </w:r>
      <w:r>
        <w:rPr>
          <w:rFonts w:ascii="Palatino Linotype" w:hAnsi="Palatino Linotype"/>
          <w:sz w:val="18"/>
        </w:rPr>
        <w:t>Distribuição acumulada (ECDF) da PTH no Dia 1, no Dia 4 e no Dia 7; o deslocamento das curvas para a direita indica o aumento da perturbação ao longo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S5.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S6.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923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impa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S7. </w:t>
      </w:r>
      <w:r>
        <w:rPr>
          <w:rFonts w:ascii="Palatino Linotype" w:hAnsi="Palatino Linotype"/>
          <w:sz w:val="18"/>
        </w:rPr>
        <w:t>Análise por derivadas do eixo energia–fadiga. Em cada variável, o painel superior traz a curva suavizada com o máximo e o mínimo realçados em cápsulas de valor, e o painel inferior traz a segunda derivada (concavidade) com o cruzamento por zero destacado, que marca o ponto de inflexão da trajetória.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492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_f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4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S8. </w:t>
      </w:r>
      <w:r>
        <w:rPr>
          <w:rFonts w:ascii="Palatino Linotype" w:hAnsi="Palatino Linotype"/>
          <w:sz w:val="18"/>
        </w:rPr>
        <w:t>Ajuste polinomial de grau três das trajetórias do vigor, da fadiga e da PTH em duas resoluções: sobre as sete médias diárias (marcadores quadrados e linha cheia) e sobre os quatorze pontos pré e pós-treino, incluída a linha de base do primeiro dia (pontos translúcidos e linha tracejada). Cada painel traz a equação do ajuste diário, o R² de cada resolução e a inflexão analítica (raiz da segunda derivada, x = -b/3a).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