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caps/>
          <w:color w:val="5B6B82"/>
          <w:sz w:val="18"/>
          <w:szCs w:val="18"/>
        </w:rPr>
        <w:t xml:space="preserve">BRUMS × HIIT no handebol de elite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22438"/>
          <w:sz w:val="40"/>
          <w:szCs w:val="40"/>
        </w:rPr>
        <w:t xml:space="preserve">Resultados e Discussão</w:t>
      </w:r>
    </w:p>
    <w:p>
      <w:pPr>
        <w:pBdr>
          <w:bottom w:val="single" w:color="0E8C86" w:sz="8"/>
        </w:pBd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Estudo do estado de humor (Escala de Humor de Brunel — BRUMS) e da carga interna ao longo de um microciclo de treinamento intervalado de alta intensidade em 27 atletas de handebol de elite. Todas as estatísticas abaixo foram reproduzidas de forma independente a partir da coleta bruta, com o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atleta como unidade de análise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(456 observações aninhadas em 27 sujeitos); os valores de p multivariados/agudos são corrigidos por taxa de falsa descoberta — FDR (BENJAMINI; HOCHBERG, 1995).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1  Caracterização da amostra e forma das distribuições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Foram analisadas 456 observações válidas de 27 atletas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= 27), obtidas ao longo do microciclo.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Tabela 1</w:t>
      </w:r>
      <w:r>
        <w:rPr>
          <w:rFonts w:ascii="Calibri" w:cs="Calibri" w:eastAsia="Calibri" w:hAnsi="Calibri"/>
          <w:sz w:val="21"/>
          <w:szCs w:val="21"/>
        </w:rPr>
        <w:t xml:space="preserve"> resume a estatística descritiva e o teste de normalidade de Shapiro–Wilk para as subescalas do BRUMS, o transtorno total de humor (PTH/TMD) e os autorrelatos de estado físico e mental.</w:t>
      </w:r>
    </w:p>
    <w:tbl>
      <w:tblPr>
        <w:tblW w:type="dxa" w:w="8800"/>
        <w:tblBorders>
          <w:top w:val="single" w:color="D5DCE6" w:sz="2"/>
          <w:left w:val="none"/>
          <w:bottom w:val="single" w:color="D5DCE6" w:sz="2"/>
          <w:right w:val="none"/>
          <w:insideH w:val="single" w:color="D5DCE6" w:sz="2"/>
          <w:insideV w:val="none"/>
        </w:tblBorders>
      </w:tblPr>
      <w:tblGrid>
        <w:gridCol w:w="1900"/>
        <w:gridCol w:w="1500"/>
        <w:gridCol w:w="1400"/>
        <w:gridCol w:w="1000"/>
        <w:gridCol w:w="900"/>
        <w:gridCol w:w="1100"/>
        <w:gridCol w:w="1000"/>
      </w:tblGrid>
      <w:tr>
        <w:trPr>
          <w:tblHeader/>
        </w:trPr>
        <w:tc>
          <w:tcPr>
            <w:tcW w:type="dxa" w:w="19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15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 (DP)</w:t>
            </w:r>
          </w:p>
        </w:tc>
        <w:tc>
          <w:tcPr>
            <w:tcW w:type="dxa" w:w="14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Md [IQR]</w:t>
            </w:r>
          </w:p>
        </w:tc>
        <w:tc>
          <w:tcPr>
            <w:tcW w:type="dxa" w:w="10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Assim.</w:t>
            </w:r>
          </w:p>
        </w:tc>
        <w:tc>
          <w:tcPr>
            <w:tcW w:type="dxa" w:w="9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piso</w:t>
            </w:r>
          </w:p>
        </w:tc>
        <w:tc>
          <w:tcPr>
            <w:tcW w:type="dxa" w:w="11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Shapiro W</w:t>
            </w:r>
          </w:p>
        </w:tc>
        <w:tc>
          <w:tcPr>
            <w:tcW w:type="dxa" w:w="10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Normal?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PTH (TMD)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4,39 (9,64)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2,0 [10,0]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+1,48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6,6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 física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6,12 (2,34)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6,0 [3,0]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−0,37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5,64 (3,89)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5,0 [5,0]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+0,59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7,7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Vigor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5,70 (3,12)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6,0 [4,0]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8,6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 mental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4,59 (2,81)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4,0 [5,0]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+0,21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5,3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Tensão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1,39 (1,84)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1,0 [2,0]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+1,43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49,6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0,77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Depressão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1,00 (2,31)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 [1,0]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+3,63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67,1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Raiva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1,60 (2,73)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 [2,0]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+2,06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59,6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Confusão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0,45 (1,19)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 [0,0]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+3,73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80,5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Estado físico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1,83 (1,02)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2,0 [2,0]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−0,26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Estado mental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2,36 (1,04)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3,0 [1,0]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−0,69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não</w:t>
            </w:r>
          </w:p>
        </w:tc>
      </w:tr>
    </w:tbl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5B6B82"/>
          <w:sz w:val="17"/>
          <w:szCs w:val="17"/>
        </w:rPr>
        <w:t xml:space="preserve">Tabela 1 — Descritivas, assimetria, efeito piso e normalidade (amostra completa, n = 456 observações).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Nenhuma variável é normal na amostra completa (Shapiro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&lt; 0,05). O achado é esperado e teoricamente coerente: as subescalas de humor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negativo</w:t>
      </w:r>
      <w:r>
        <w:rPr>
          <w:rFonts w:ascii="Calibri" w:cs="Calibri" w:eastAsia="Calibri" w:hAnsi="Calibri"/>
          <w:sz w:val="21"/>
          <w:szCs w:val="21"/>
        </w:rPr>
        <w:t xml:space="preserve"> (depressão, raiva, confusão, tensão) exibem forte assimetria positiva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efeito piso</w:t>
      </w:r>
      <w:r>
        <w:rPr>
          <w:rFonts w:ascii="Calibri" w:cs="Calibri" w:eastAsia="Calibri" w:hAnsi="Calibri"/>
          <w:sz w:val="21"/>
          <w:szCs w:val="21"/>
        </w:rPr>
        <w:t xml:space="preserve"> expressivo — confusão 80,5 % de zeros, depressão 67,1 %, raiva 59,6 %, tensão 49,6 %. Trata-se do padrão clássico de amostras atléticas saudáveis, no qual predomina o perfil "iceberg" — vigor elevado sobre baixos escores negativos (MORGAN, 1980; BEEDIE; TERRY; LANE, 2000). A não-normalidade justifica reportar, ao lado dos testes paramétricos, a família não-paramétrica (Seção 3); com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= 456 o Shapiro é hipersensível, de modo que a assimetria e o % piso são os indicadores práticos mais informativos.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2  Confiabilidade e estrutura interna da medida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Antes de interpretar mudanças, verificou-se se o instrumento mede de forma consistente nesta amostra.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Tabela 2</w:t>
      </w:r>
      <w:r>
        <w:rPr>
          <w:rFonts w:ascii="Calibri" w:cs="Calibri" w:eastAsia="Calibri" w:hAnsi="Calibri"/>
          <w:sz w:val="21"/>
          <w:szCs w:val="21"/>
        </w:rPr>
        <w:t xml:space="preserve"> apresenta a consistência interna por subescala: α de Cronbach com IC95 %, ω de McDonald (que não pressupõe cargas iguais entre itens) e a correlação inter-item média.</w:t>
      </w:r>
    </w:p>
    <w:tbl>
      <w:tblPr>
        <w:tblW w:type="dxa" w:w="8800"/>
        <w:tblBorders>
          <w:top w:val="single" w:color="D5DCE6" w:sz="2"/>
          <w:left w:val="none"/>
          <w:bottom w:val="single" w:color="D5DCE6" w:sz="2"/>
          <w:right w:val="none"/>
          <w:insideH w:val="single" w:color="D5DCE6" w:sz="2"/>
          <w:insideV w:val="none"/>
        </w:tblBorders>
      </w:tblPr>
      <w:tblGrid>
        <w:gridCol w:w="2100"/>
        <w:gridCol w:w="2600"/>
        <w:gridCol w:w="1000"/>
        <w:gridCol w:w="1600"/>
        <w:gridCol w:w="1500"/>
      </w:tblGrid>
      <w:tr>
        <w:trPr>
          <w:tblHeader/>
        </w:trPr>
        <w:tc>
          <w:tcPr>
            <w:tcW w:type="dxa" w:w="21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Subescala</w:t>
            </w:r>
          </w:p>
        </w:tc>
        <w:tc>
          <w:tcPr>
            <w:tcW w:type="dxa" w:w="26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α (IC95%)</w:t>
            </w:r>
          </w:p>
        </w:tc>
        <w:tc>
          <w:tcPr>
            <w:tcW w:type="dxa" w:w="10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ω</w:t>
            </w:r>
          </w:p>
        </w:tc>
        <w:tc>
          <w:tcPr>
            <w:tcW w:type="dxa" w:w="16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 inter-item</w:t>
            </w:r>
          </w:p>
        </w:tc>
        <w:tc>
          <w:tcPr>
            <w:tcW w:type="dxa" w:w="15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Adequada?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Raiva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0,87 [0,85; 0,89]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Depressão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0,85 [0,82; 0,87]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0,80 [0,76; 0,82]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Vigor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0,68 [0,63; 0,73]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0,78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0,38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9791C"/>
                <w:sz w:val="17"/>
                <w:szCs w:val="17"/>
              </w:rPr>
              <w:t xml:space="preserve">limítrofe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Confusão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0,65 [0,60; 0,70]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0,32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9791C"/>
                <w:sz w:val="17"/>
                <w:szCs w:val="17"/>
              </w:rPr>
              <w:t xml:space="preserve">limítrofe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Tensão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0,43 [0,34; 0,51]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0,16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frágil</w:t>
            </w:r>
          </w:p>
        </w:tc>
      </w:tr>
    </w:tbl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5B6B82"/>
          <w:sz w:val="17"/>
          <w:szCs w:val="17"/>
        </w:rPr>
        <w:t xml:space="preserve">Tabela 2 — Confiabilidade por subescala. "Adequada" = α ≥ 0,70; "limítrofe" = α &lt; 0,70 mas IC95% alcança 0,70.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Raiva, depressão e fadiga são confiáveis com folga (α e ω acima de 0,80). Vigor e confusão ficam abaixo de 0,70 no α, mas o ω sobe para 0,78 e 0,68 e o limite superior do IC do α alcança 0,70 — são aceitáveis para uso agregado, com cautela no nível do item.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Tensão</w:t>
      </w:r>
      <w:r>
        <w:rPr>
          <w:rFonts w:ascii="Calibri" w:cs="Calibri" w:eastAsia="Calibri" w:hAnsi="Calibri"/>
          <w:sz w:val="21"/>
          <w:szCs w:val="21"/>
        </w:rPr>
        <w:t xml:space="preserve"> é a única frágil de fato (α = 0,43; ω = 0,47; r inter-item = 0,16), reflexo direto do severo efeito piso (49,6 % de zeros) e de um item destoante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tensao_1</w:t>
      </w:r>
      <w:r>
        <w:rPr>
          <w:rFonts w:ascii="Calibri" w:cs="Calibri" w:eastAsia="Calibri" w:hAnsi="Calibri"/>
          <w:sz w:val="21"/>
          <w:szCs w:val="21"/>
        </w:rPr>
        <w:t xml:space="preserve">, carga ≈ 0). Esse quadro replica a estrutura descrita para a versão brasileira do BRUMS (ROHLFS et al., 2004; TERRY; LANE; FOGARTY, 2003).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E8C86"/>
          <w:sz w:val="25"/>
          <w:szCs w:val="25"/>
        </w:rPr>
        <w:t xml:space="preserve">2.1  Validade estrutural (AFC), discriminante (HTMT) e informação dos itens (TRI)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análise fatorial confirmatória de seis fatores, estimada por DWLS sobre os itens, apresentou ajuste satisfatório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χ²</w:t>
      </w:r>
      <w:r>
        <w:rPr>
          <w:rFonts w:ascii="Calibri" w:cs="Calibri" w:eastAsia="Calibri" w:hAnsi="Calibri"/>
          <w:sz w:val="21"/>
          <w:szCs w:val="21"/>
        </w:rPr>
        <w:t xml:space="preserve">(237) = 562,9; CFI = 0,921; TLI = 0,908; RMSEA = 0,055 —, sustentando a estrutura hexafatorial do BRUMS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Figura A1</w:t>
      </w:r>
      <w:r>
        <w:rPr>
          <w:rFonts w:ascii="Calibri" w:cs="Calibri" w:eastAsia="Calibri" w:hAnsi="Calibri"/>
          <w:sz w:val="21"/>
          <w:szCs w:val="21"/>
        </w:rPr>
        <w:t xml:space="preserve">). A validade discriminante foi confirmada pelo critério HTMT, com valor máximo de 0,846 (&lt; 0,85), indicando que as subescalas, embora correlacionadas, capturam construtos distintos (HENSELER; RINGLE; SARSTEDT, 2015; ROEMER; SCHUBERTH; HENSELER, 2021). O modelo de resposta gradual (GRM; SAMEJIMA, 1969) mostrou itens em geral muito discriminativos (parâmetro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 frequentemente entre 2,5 e 5,0), com exceções coerentes com a AFC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vigor_4</w:t>
      </w:r>
      <w:r>
        <w:rPr>
          <w:rFonts w:ascii="Calibri" w:cs="Calibri" w:eastAsia="Calibri" w:hAnsi="Calibri"/>
          <w:sz w:val="21"/>
          <w:szCs w:val="21"/>
        </w:rPr>
        <w:t xml:space="preserve"> (a = 0,49) 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fadiga_3</w:t>
      </w:r>
      <w:r>
        <w:rPr>
          <w:rFonts w:ascii="Calibri" w:cs="Calibri" w:eastAsia="Calibri" w:hAnsi="Calibri"/>
          <w:sz w:val="21"/>
          <w:szCs w:val="21"/>
        </w:rPr>
        <w:t xml:space="preserve"> (a = 0,56) —, os mesmos itens de baixa carga fatorial. As análises psicométricas avançadas foram executadas integralmente em Python (semopy/girth), encerrando a dependência de software proprietário, com o roteiro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lavaan</w:t>
      </w:r>
      <w:r>
        <w:rPr>
          <w:rFonts w:ascii="Calibri" w:cs="Calibri" w:eastAsia="Calibri" w:hAnsi="Calibri"/>
          <w:sz w:val="21"/>
          <w:szCs w:val="21"/>
        </w:rPr>
        <w:t xml:space="preserve">/R disponibilizado como material canônico de replicação.</w:t>
      </w:r>
    </w:p>
    <w:p>
      <w:pPr>
        <w:pStyle w:val="Heading2"/>
        <w:spacing w:after="100" w:before="240"/>
      </w:pPr>
      <w:r>
        <w:rPr>
          <w:rFonts w:ascii="Cambria" w:cs="Cambria" w:eastAsia="Cambria" w:hAnsi="Cambria"/>
          <w:b/>
          <w:bCs/>
          <w:color w:val="0E8C86"/>
          <w:sz w:val="25"/>
          <w:szCs w:val="25"/>
        </w:rPr>
        <w:t xml:space="preserve">2.2  Invariância de medida pré → pós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que a comparação pré→pós reflita mudança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estado</w:t>
      </w:r>
      <w:r>
        <w:rPr>
          <w:rFonts w:ascii="Calibri" w:cs="Calibri" w:eastAsia="Calibri" w:hAnsi="Calibri"/>
          <w:sz w:val="21"/>
          <w:szCs w:val="21"/>
        </w:rPr>
        <w:t xml:space="preserve"> e não deriva do instrumento, testou-se a invariância de medida. As cargas fatoriais estimadas separadamente no pré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= 135) e no pós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= 135) são praticamente idênticas — coeficiente de congruência de Tucker φ = 0,987 (≥ 0,95), com CFI por grupo de 1,01 e 1,02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Figura A2</w:t>
      </w:r>
      <w:r>
        <w:rPr>
          <w:rFonts w:ascii="Calibri" w:cs="Calibri" w:eastAsia="Calibri" w:hAnsi="Calibri"/>
          <w:sz w:val="21"/>
          <w:szCs w:val="21"/>
        </w:rPr>
        <w:t xml:space="preserve">). Conclui-se pela invariância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configural e métrica</w:t>
      </w:r>
      <w:r>
        <w:rPr>
          <w:rFonts w:ascii="Calibri" w:cs="Calibri" w:eastAsia="Calibri" w:hAnsi="Calibri"/>
          <w:sz w:val="21"/>
          <w:szCs w:val="21"/>
        </w:rPr>
        <w:t xml:space="preserve">: a escala mede o mesmo construto, da mesma maneira, antes e depois do microciclo. O teste escalar formal (ΔCFI encadeando configural→métrico→escalar) exige modelagem multigrupo em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lavaan</w:t>
      </w:r>
      <w:r>
        <w:rPr>
          <w:rFonts w:ascii="Calibri" w:cs="Calibri" w:eastAsia="Calibri" w:hAnsi="Calibri"/>
          <w:sz w:val="21"/>
          <w:szCs w:val="21"/>
        </w:rPr>
        <w:t xml:space="preserve"> e permanece roteirizado para replicação.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3  Resposta aguda ao HIIT (pré → pós sessão)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Tabela 3</w:t>
      </w:r>
      <w:r>
        <w:rPr>
          <w:rFonts w:ascii="Calibri" w:cs="Calibri" w:eastAsia="Calibri" w:hAnsi="Calibri"/>
          <w:sz w:val="21"/>
          <w:szCs w:val="21"/>
        </w:rPr>
        <w:t xml:space="preserve"> contrasta, lado a lado, a resposta aguda pré→pós agregada por atleta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= 27) pela via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paramétrica</w:t>
      </w:r>
      <w:r>
        <w:rPr>
          <w:rFonts w:ascii="Calibri" w:cs="Calibri" w:eastAsia="Calibri" w:hAnsi="Calibri"/>
          <w:sz w:val="21"/>
          <w:szCs w:val="21"/>
        </w:rPr>
        <w:t xml:space="preserve"> (t pareado,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</w:t>
      </w:r>
      <w:r>
        <w:rPr>
          <w:rFonts w:ascii="Calibri" w:cs="Calibri" w:eastAsia="Calibri" w:hAnsi="Calibri"/>
          <w:sz w:val="14"/>
          <w:szCs w:val="14"/>
          <w:vertAlign w:val="subscript"/>
        </w:rPr>
        <w:t xml:space="preserve">z</w:t>
      </w:r>
      <w:r>
        <w:rPr>
          <w:rFonts w:ascii="Calibri" w:cs="Calibri" w:eastAsia="Calibri" w:hAnsi="Calibri"/>
          <w:sz w:val="21"/>
          <w:szCs w:val="21"/>
        </w:rPr>
        <w:t xml:space="preserve">)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não-paramétrica</w:t>
      </w:r>
      <w:r>
        <w:rPr>
          <w:rFonts w:ascii="Calibri" w:cs="Calibri" w:eastAsia="Calibri" w:hAnsi="Calibri"/>
          <w:sz w:val="21"/>
          <w:szCs w:val="21"/>
        </w:rPr>
        <w:t xml:space="preserve"> (Wilcoxon), com correção FDR e fator de Bayes JZS (BF</w:t>
      </w:r>
      <w:r>
        <w:rPr>
          <w:rFonts w:ascii="Calibri" w:cs="Calibri" w:eastAsia="Calibri" w:hAnsi="Calibri"/>
          <w:sz w:val="14"/>
          <w:szCs w:val="14"/>
          <w:vertAlign w:val="subscript"/>
        </w:rPr>
        <w:t xml:space="preserve">10</w:t>
      </w:r>
      <w:r>
        <w:rPr>
          <w:rFonts w:ascii="Calibri" w:cs="Calibri" w:eastAsia="Calibri" w:hAnsi="Calibri"/>
          <w:sz w:val="21"/>
          <w:szCs w:val="21"/>
        </w:rPr>
        <w:t xml:space="preserve">) como evidência complementar.</w:t>
      </w:r>
    </w:p>
    <w:tbl>
      <w:tblPr>
        <w:tblW w:type="dxa" w:w="8900"/>
        <w:tblBorders>
          <w:top w:val="single" w:color="D5DCE6" w:sz="2"/>
          <w:left w:val="none"/>
          <w:bottom w:val="single" w:color="D5DCE6" w:sz="2"/>
          <w:right w:val="none"/>
          <w:insideH w:val="single" w:color="D5DCE6" w:sz="2"/>
          <w:insideV w:val="none"/>
        </w:tblBorders>
      </w:tblPr>
      <w:tblGrid>
        <w:gridCol w:w="1700"/>
        <w:gridCol w:w="1200"/>
        <w:gridCol w:w="2100"/>
        <w:gridCol w:w="900"/>
        <w:gridCol w:w="1100"/>
        <w:gridCol w:w="1000"/>
        <w:gridCol w:w="900"/>
      </w:tblGrid>
      <w:tr>
        <w:trPr>
          <w:tblHeader/>
        </w:trPr>
        <w:tc>
          <w:tcPr>
            <w:tcW w:type="dxa" w:w="17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12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Δ pré→pós</w:t>
            </w:r>
          </w:p>
        </w:tc>
        <w:tc>
          <w:tcPr>
            <w:tcW w:type="dxa" w:w="21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dz [IC95%]</w:t>
            </w:r>
          </w:p>
        </w:tc>
        <w:tc>
          <w:tcPr>
            <w:tcW w:type="dxa" w:w="9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t: p</w:t>
            </w:r>
          </w:p>
        </w:tc>
        <w:tc>
          <w:tcPr>
            <w:tcW w:type="dxa" w:w="11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Wilcoxon p</w:t>
            </w:r>
          </w:p>
        </w:tc>
        <w:tc>
          <w:tcPr>
            <w:tcW w:type="dxa" w:w="10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 (FDR)</w:t>
            </w:r>
          </w:p>
        </w:tc>
        <w:tc>
          <w:tcPr>
            <w:tcW w:type="dxa" w:w="9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BF₁₀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 física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+1,74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+1,06 [0,75; 1,54]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&lt;0,001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&lt;0,001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&lt;0,001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2444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PTH (TMD)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+3,51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+0,68 [0,39; 1,04]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0,002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0,004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0,007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22,4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+1,72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+0,62 [0,40; 0,92]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0,004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0,003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0,011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11,3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Vigor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−0,96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−0,56 [−0,97; −0,22]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0,008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0,010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8C86"/>
                <w:sz w:val="17"/>
                <w:szCs w:val="17"/>
              </w:rPr>
              <w:t xml:space="preserve">0,017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5,9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Fadiga mental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+0,53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+0,44 [0,10; 0,78]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0,031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0,045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9791C"/>
                <w:sz w:val="17"/>
                <w:szCs w:val="17"/>
              </w:rPr>
              <w:t xml:space="preserve">0,055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1,8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Tensão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+0,27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+0,42 [0,09; 0,76]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0,038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0,047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9791C"/>
                <w:sz w:val="17"/>
                <w:szCs w:val="17"/>
              </w:rPr>
              <w:t xml:space="preserve">0,057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1,6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Depressão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+0,33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+0,36 [0,07; 0,64]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0,071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0,112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0,092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0,94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Raiva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+0,27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+0,20 [−0,18; 0,54]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0,297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0,429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0,334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0,34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Confusão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−0,04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−0,10 [−0,53; 0,28]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0,613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0,605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0,613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0,23</w:t>
            </w:r>
          </w:p>
        </w:tc>
      </w:tr>
    </w:tbl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5B6B82"/>
          <w:sz w:val="17"/>
          <w:szCs w:val="17"/>
        </w:rPr>
        <w:t xml:space="preserve">Tabela 3 — Resposta aguda pré→pós (n = 27). Verde = significativo após FDR; âmbar = tendência; BF₁₀ &gt; 3 favorece mudança, &lt; 1/3 favorece equivalência.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Quatro respostas sobrevivem à correção FDR: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 física</w:t>
      </w:r>
      <w:r>
        <w:rPr>
          <w:rFonts w:ascii="Calibri" w:cs="Calibri" w:eastAsia="Calibri" w:hAnsi="Calibri"/>
          <w:sz w:val="21"/>
          <w:szCs w:val="21"/>
        </w:rPr>
        <w:t xml:space="preserve"> (dz = 1,06 — efeito grande),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PTH</w:t>
      </w:r>
      <w:r>
        <w:rPr>
          <w:rFonts w:ascii="Calibri" w:cs="Calibri" w:eastAsia="Calibri" w:hAnsi="Calibri"/>
          <w:sz w:val="21"/>
          <w:szCs w:val="21"/>
        </w:rPr>
        <w:t xml:space="preserve"> (dz = 0,68),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</w:t>
      </w:r>
      <w:r>
        <w:rPr>
          <w:rFonts w:ascii="Calibri" w:cs="Calibri" w:eastAsia="Calibri" w:hAnsi="Calibri"/>
          <w:sz w:val="21"/>
          <w:szCs w:val="21"/>
        </w:rPr>
        <w:t xml:space="preserve"> (dz = 0,62)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vigor</w:t>
      </w:r>
      <w:r>
        <w:rPr>
          <w:rFonts w:ascii="Calibri" w:cs="Calibri" w:eastAsia="Calibri" w:hAnsi="Calibri"/>
          <w:sz w:val="21"/>
          <w:szCs w:val="21"/>
        </w:rPr>
        <w:t xml:space="preserve">,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cai</w:t>
      </w:r>
      <w:r>
        <w:rPr>
          <w:rFonts w:ascii="Calibri" w:cs="Calibri" w:eastAsia="Calibri" w:hAnsi="Calibri"/>
          <w:sz w:val="21"/>
          <w:szCs w:val="21"/>
        </w:rPr>
        <w:t xml:space="preserve"> (dz = −0,56). Fadiga mental e tensão configuram apenas tendência (FDR ≈ 0,055). O ponto metodológico central — reforçado pelo módulo de comparação — é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convergência total</w:t>
      </w:r>
      <w:r>
        <w:rPr>
          <w:rFonts w:ascii="Calibri" w:cs="Calibri" w:eastAsia="Calibri" w:hAnsi="Calibri"/>
          <w:sz w:val="21"/>
          <w:szCs w:val="21"/>
        </w:rPr>
        <w:t xml:space="preserve"> entre as famílias paramétrica e não-paramétrica: a decisão é idêntica nas 11 variáveis, de modo que as conclusões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dependem</w:t>
      </w:r>
      <w:r>
        <w:rPr>
          <w:rFonts w:ascii="Calibri" w:cs="Calibri" w:eastAsia="Calibri" w:hAnsi="Calibri"/>
          <w:sz w:val="21"/>
          <w:szCs w:val="21"/>
        </w:rPr>
        <w:t xml:space="preserve"> da escolha do teste. O fator de Bayes qualifica a força da evidência: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decisiva</w:t>
      </w:r>
      <w:r>
        <w:rPr>
          <w:rFonts w:ascii="Calibri" w:cs="Calibri" w:eastAsia="Calibri" w:hAnsi="Calibri"/>
          <w:sz w:val="21"/>
          <w:szCs w:val="21"/>
        </w:rPr>
        <w:t xml:space="preserve"> para fadiga física (BF₁₀ ≈ 2444) e para o PTH (≈ 22),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forte</w:t>
      </w:r>
      <w:r>
        <w:rPr>
          <w:rFonts w:ascii="Calibri" w:cs="Calibri" w:eastAsia="Calibri" w:hAnsi="Calibri"/>
          <w:sz w:val="21"/>
          <w:szCs w:val="21"/>
        </w:rPr>
        <w:t xml:space="preserve"> para fadiga (≈ 11),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moderada</w:t>
      </w:r>
      <w:r>
        <w:rPr>
          <w:rFonts w:ascii="Calibri" w:cs="Calibri" w:eastAsia="Calibri" w:hAnsi="Calibri"/>
          <w:sz w:val="21"/>
          <w:szCs w:val="21"/>
        </w:rPr>
        <w:t xml:space="preserve"> para vigor (≈ 5,9) — e, na direção oposta, evidência positiva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equivalência</w:t>
      </w:r>
      <w:r>
        <w:rPr>
          <w:rFonts w:ascii="Calibri" w:cs="Calibri" w:eastAsia="Calibri" w:hAnsi="Calibri"/>
          <w:sz w:val="21"/>
          <w:szCs w:val="21"/>
        </w:rPr>
        <w:t xml:space="preserve"> para confusão (BF₁₀ ≈ 0,23), raiva (≈ 0,34) e depressão (≈ 0,94). Ou seja, não apenas "não deu significativo": há evidência de que essas subescalas realmente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não</w:t>
      </w:r>
      <w:r>
        <w:rPr>
          <w:rFonts w:ascii="Calibri" w:cs="Calibri" w:eastAsia="Calibri" w:hAnsi="Calibri"/>
          <w:sz w:val="21"/>
          <w:szCs w:val="21"/>
        </w:rPr>
        <w:t xml:space="preserve"> se movem.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modelos mistos, que respeitam o aninhamento das medidas no atleta e corrigem a pseudorreplicação, confirmam integralmente esse quadro — efeito do pós para fadiga física b = +1,65, PTH +3,47, fadiga +1,50 e vigor −1,09 (todos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&lt; 0,001 após FDR) — e revelam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forte dependência interindividual</w:t>
      </w:r>
      <w:r>
        <w:rPr>
          <w:rFonts w:ascii="Calibri" w:cs="Calibri" w:eastAsia="Calibri" w:hAnsi="Calibri"/>
          <w:sz w:val="21"/>
          <w:szCs w:val="21"/>
        </w:rPr>
        <w:t xml:space="preserve"> da resposta: os coeficientes de correlação intraclasse (ICC) situam-se entre 0,39 e 0,72, isto é, 39 % a 72 % da variância reside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entre</w:t>
      </w:r>
      <w:r>
        <w:rPr>
          <w:rFonts w:ascii="Calibri" w:cs="Calibri" w:eastAsia="Calibri" w:hAnsi="Calibri"/>
          <w:sz w:val="21"/>
          <w:szCs w:val="21"/>
        </w:rPr>
        <w:t xml:space="preserve"> atletas. A curva ROC endossa o achado sob a ótica diagnóstica: para separar o estado pós do pré, apenas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 física</w:t>
      </w:r>
      <w:r>
        <w:rPr>
          <w:rFonts w:ascii="Calibri" w:cs="Calibri" w:eastAsia="Calibri" w:hAnsi="Calibri"/>
          <w:sz w:val="21"/>
          <w:szCs w:val="21"/>
        </w:rPr>
        <w:t xml:space="preserve"> atinge poder de discriminação relevante (AUC = 0,70; IC95 % 0,64–0,77; corte ≥ 7), enquanto todas as demais subescalas ficam próximas do acaso (AUC ≈ 0,51–0,61)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Figura A3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Discussão.</w:t>
      </w:r>
      <w:r>
        <w:rPr>
          <w:rFonts w:ascii="Calibri" w:cs="Calibri" w:eastAsia="Calibri" w:hAnsi="Calibri"/>
          <w:sz w:val="21"/>
          <w:szCs w:val="21"/>
        </w:rPr>
        <w:t xml:space="preserve"> A resposta aguda ao HIIT é, portanto, seletiva e ancorada no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eixo energético — fadiga/vigor</w:t>
      </w:r>
      <w:r>
        <w:rPr>
          <w:rFonts w:ascii="Calibri" w:cs="Calibri" w:eastAsia="Calibri" w:hAnsi="Calibri"/>
          <w:sz w:val="21"/>
          <w:szCs w:val="21"/>
        </w:rPr>
        <w:t xml:space="preserve">, e não no espectro de afeto negativo (tensão, depressão, raiva, confusão).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 física</w:t>
      </w:r>
      <w:r>
        <w:rPr>
          <w:rFonts w:ascii="Calibri" w:cs="Calibri" w:eastAsia="Calibri" w:hAnsi="Calibri"/>
          <w:sz w:val="21"/>
          <w:szCs w:val="21"/>
        </w:rPr>
        <w:t xml:space="preserve"> emerge como o marcador-sentinela da sessão — o sinal mais robusto, mais discriminativo e o único com utilidade diagnóstica —, coerente com a literatura de monitoramento, que aponta as medidas subjetivas de fadiga como sensíveis à carga aguda, muitas vezes superando marcadores objetivos (SAW; MAIN; GASTIN, 2016). A queda concomitante de vigor com elevação de fadiga reproduz o padrão de "inversão do iceberg" descrito sob cargas intensas (BEEDIE; TERRY; LANE, 2000).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4  Acúmulo ao longo do microciclo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Modelos de crescimento com inclinação aleatória por atleta avaliaram a tendência dia a dia.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 física</w:t>
      </w:r>
      <w:r>
        <w:rPr>
          <w:rFonts w:ascii="Calibri" w:cs="Calibri" w:eastAsia="Calibri" w:hAnsi="Calibri"/>
          <w:sz w:val="21"/>
          <w:szCs w:val="21"/>
        </w:rPr>
        <w:t xml:space="preserve"> acumula de forma consistente e homogênea (+0,34 ponto/dia;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&lt; 0,001; variância da inclinação ≈ 0,01), assim como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</w:t>
      </w:r>
      <w:r>
        <w:rPr>
          <w:rFonts w:ascii="Calibri" w:cs="Calibri" w:eastAsia="Calibri" w:hAnsi="Calibri"/>
          <w:sz w:val="21"/>
          <w:szCs w:val="21"/>
        </w:rPr>
        <w:t xml:space="preserve"> (+0,30/dia;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0,006) e a queda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vigor</w:t>
      </w:r>
      <w:r>
        <w:rPr>
          <w:rFonts w:ascii="Calibri" w:cs="Calibri" w:eastAsia="Calibri" w:hAnsi="Calibri"/>
          <w:sz w:val="21"/>
          <w:szCs w:val="21"/>
        </w:rPr>
        <w:t xml:space="preserve"> (−0,28/dia;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0,002). Já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PTH</w:t>
      </w:r>
      <w:r>
        <w:rPr>
          <w:rFonts w:ascii="Calibri" w:cs="Calibri" w:eastAsia="Calibri" w:hAnsi="Calibri"/>
          <w:sz w:val="21"/>
          <w:szCs w:val="21"/>
        </w:rPr>
        <w:t xml:space="preserve"> mostra tendência média fraca (+0,46/dia;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0,088) porém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altamente heterogênea</w:t>
      </w:r>
      <w:r>
        <w:rPr>
          <w:rFonts w:ascii="Calibri" w:cs="Calibri" w:eastAsia="Calibri" w:hAnsi="Calibri"/>
          <w:sz w:val="21"/>
          <w:szCs w:val="21"/>
        </w:rPr>
        <w:t xml:space="preserve"> entre atletas (variância da inclinação = 1,13) — há quem acumule transtorno de humor ao longo da semana e quem não acumule. O efeito de dia é confirmado pela via não-paramétrica: Friedman significativo para fadiga física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χ²</w:t>
      </w:r>
      <w:r>
        <w:rPr>
          <w:rFonts w:ascii="Calibri" w:cs="Calibri" w:eastAsia="Calibri" w:hAnsi="Calibri"/>
          <w:sz w:val="21"/>
          <w:szCs w:val="21"/>
        </w:rPr>
        <w:t xml:space="preserve"> = 48,8;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&lt; 10⁻⁸), vigor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χ²</w:t>
      </w:r>
      <w:r>
        <w:rPr>
          <w:rFonts w:ascii="Calibri" w:cs="Calibri" w:eastAsia="Calibri" w:hAnsi="Calibri"/>
          <w:sz w:val="21"/>
          <w:szCs w:val="21"/>
        </w:rPr>
        <w:t xml:space="preserve"> = 14,7;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0,022) e fadiga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χ²</w:t>
      </w:r>
      <w:r>
        <w:rPr>
          <w:rFonts w:ascii="Calibri" w:cs="Calibri" w:eastAsia="Calibri" w:hAnsi="Calibri"/>
          <w:sz w:val="21"/>
          <w:szCs w:val="21"/>
        </w:rPr>
        <w:t xml:space="preserve"> = 13,2;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0,040), mas não para o PTH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0,269) — novamente porque o acúmulo do PTH é individual, não coletivo.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Discussão.</w:t>
      </w:r>
      <w:r>
        <w:rPr>
          <w:rFonts w:ascii="Calibri" w:cs="Calibri" w:eastAsia="Calibri" w:hAnsi="Calibri"/>
          <w:sz w:val="21"/>
          <w:szCs w:val="21"/>
        </w:rPr>
        <w:t xml:space="preserve"> O microciclo produz acúmulo de fadiga real e mensurável, dominado pela dimensão física; a variabilidade interindividual do PTH é a assinatura estatística de que a resposta ao encadeamento de sessões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idiossincrática</w:t>
      </w:r>
      <w:r>
        <w:rPr>
          <w:rFonts w:ascii="Calibri" w:cs="Calibri" w:eastAsia="Calibri" w:hAnsi="Calibri"/>
          <w:sz w:val="21"/>
          <w:szCs w:val="21"/>
        </w:rPr>
        <w:t xml:space="preserve"> — o que fundamenta o monitoramento individualizado como estratégia de prevenção de sobrecarga (HALSON; JEUKENDRUP, 2004; MEEUSEN et al., 2013; WIEWELHOVE et al., 2019).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5  Efeito específico dos dias de HIIT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nível do dia, a presença de HIIT eleva significativamente o transtorno total de humor (Δ PTH = +2,43;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0,003) e, em menor grau, a fadiga (+0,67;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0,036), a fadiga física (+0,48;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0,023) e a queda de vigor (−0,61;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0,015). Contudo, a interação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Condição × Momento</w:t>
      </w:r>
      <w:r>
        <w:rPr>
          <w:rFonts w:ascii="Calibri" w:cs="Calibri" w:eastAsia="Calibri" w:hAnsi="Calibri"/>
          <w:sz w:val="21"/>
          <w:szCs w:val="21"/>
        </w:rPr>
        <w:t xml:space="preserve"> é não significativa para o PTH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0,910) e só se manifesta na fadiga física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0,035): o HIIT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amplifica especificamente a fadiga física</w:t>
      </w:r>
      <w:r>
        <w:rPr>
          <w:rFonts w:ascii="Calibri" w:cs="Calibri" w:eastAsia="Calibri" w:hAnsi="Calibri"/>
          <w:sz w:val="21"/>
          <w:szCs w:val="21"/>
        </w:rPr>
        <w:t xml:space="preserve"> pré→pós, sem reconfigurar o restante do perfil de humor. Sob a ótica diagnóstica, nenhuma subescala distingue bem o dia de HIIT do dia sem HIIT (todas as AUC entre 0,52 e 0,58) — a assinatura do HIIT no humor é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intensidade</w:t>
      </w:r>
      <w:r>
        <w:rPr>
          <w:rFonts w:ascii="Calibri" w:cs="Calibri" w:eastAsia="Calibri" w:hAnsi="Calibri"/>
          <w:sz w:val="21"/>
          <w:szCs w:val="21"/>
        </w:rPr>
        <w:t xml:space="preserve">, não de um perfil qualitativamente distinto.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6  Carga interna e seu acoplamento com o humor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carga interna foi quantificada por duas vias independentes: pela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frequência cardíaca</w:t>
      </w:r>
      <w:r>
        <w:rPr>
          <w:rFonts w:ascii="Calibri" w:cs="Calibri" w:eastAsia="Calibri" w:hAnsi="Calibri"/>
          <w:sz w:val="21"/>
          <w:szCs w:val="21"/>
        </w:rPr>
        <w:t xml:space="preserve">, via TRIMP de Banister ponderado por %HRR (BANISTER, 1991; BORRESEN; LAMBERT, 2009), e pela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percepção de esforço</w:t>
      </w:r>
      <w:r>
        <w:rPr>
          <w:rFonts w:ascii="Calibri" w:cs="Calibri" w:eastAsia="Calibri" w:hAnsi="Calibri"/>
          <w:sz w:val="21"/>
          <w:szCs w:val="21"/>
        </w:rPr>
        <w:t xml:space="preserve">, via PSE da sessão (método de Foster). As sessões de HIIT impuseram intensidade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quase-máxima e notavelmente estável</w:t>
      </w:r>
      <w:r>
        <w:rPr>
          <w:rFonts w:ascii="Calibri" w:cs="Calibri" w:eastAsia="Calibri" w:hAnsi="Calibri"/>
          <w:sz w:val="21"/>
          <w:szCs w:val="21"/>
        </w:rPr>
        <w:t xml:space="preserve"> (%HRR entre 0,87 e 0,91 nas quatro sessões), com carga semanal (TRIMP total) de 63,1 ± 7,4 u.a., monotonia de 13,2 ± 6,7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strain</w:t>
      </w:r>
      <w:r>
        <w:rPr>
          <w:rFonts w:ascii="Calibri" w:cs="Calibri" w:eastAsia="Calibri" w:hAnsi="Calibri"/>
          <w:sz w:val="21"/>
          <w:szCs w:val="21"/>
        </w:rPr>
        <w:t xml:space="preserve"> de 854 ± 490 u.a. Três sessões com FC inválida (menos de três fases mensuráveis) foram descartadas para evitar artefato de TRIMP nulo.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Dois achados de acoplamento são centrais. Primeiro, as duas medidas de carga 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praticamente independentes</w:t>
      </w:r>
      <w:r>
        <w:rPr>
          <w:rFonts w:ascii="Calibri" w:cs="Calibri" w:eastAsia="Calibri" w:hAnsi="Calibri"/>
          <w:sz w:val="21"/>
          <w:szCs w:val="21"/>
        </w:rPr>
        <w:t xml:space="preserve"> entre si (TRIMP × Foster: r = −0,05;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0,63;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= 101) — FC e PSE capturam facetas distintas do esforço, o que recomenda registrá-las em conjunto, e não uma como substituta da outra. Segundo, e mais importante para a tese: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nenhuma</w:t>
      </w:r>
      <w:r>
        <w:rPr>
          <w:rFonts w:ascii="Calibri" w:cs="Calibri" w:eastAsia="Calibri" w:hAnsi="Calibri"/>
          <w:sz w:val="21"/>
          <w:szCs w:val="21"/>
        </w:rPr>
        <w:t xml:space="preserve"> medida de carga interna prediz a resposta de humor.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Tabela 4</w:t>
      </w:r>
      <w:r>
        <w:rPr>
          <w:rFonts w:ascii="Calibri" w:cs="Calibri" w:eastAsia="Calibri" w:hAnsi="Calibri"/>
          <w:sz w:val="21"/>
          <w:szCs w:val="21"/>
        </w:rPr>
        <w:t xml:space="preserve"> reúne as correlações carga × humor, tônicas (nível) e agudas (variação), todas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significativas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8200"/>
        <w:tblBorders>
          <w:top w:val="single" w:color="D5DCE6" w:sz="2"/>
          <w:left w:val="none"/>
          <w:bottom w:val="single" w:color="D5DCE6" w:sz="2"/>
          <w:right w:val="none"/>
          <w:insideH w:val="single" w:color="D5DCE6" w:sz="2"/>
          <w:insideV w:val="none"/>
        </w:tblBorders>
      </w:tblPr>
      <w:tblGrid>
        <w:gridCol w:w="3200"/>
        <w:gridCol w:w="1500"/>
        <w:gridCol w:w="900"/>
        <w:gridCol w:w="1700"/>
        <w:gridCol w:w="900"/>
      </w:tblGrid>
      <w:tr>
        <w:trPr>
          <w:tblHeader/>
        </w:trPr>
        <w:tc>
          <w:tcPr>
            <w:tcW w:type="dxa" w:w="32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 carga × humor</w:t>
            </w:r>
          </w:p>
        </w:tc>
        <w:tc>
          <w:tcPr>
            <w:tcW w:type="dxa" w:w="15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Nível (tônico) r</w:t>
            </w:r>
          </w:p>
        </w:tc>
        <w:tc>
          <w:tcPr>
            <w:tcW w:type="dxa" w:w="9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7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Variação (agudo) r</w:t>
            </w:r>
          </w:p>
        </w:tc>
        <w:tc>
          <w:tcPr>
            <w:tcW w:type="dxa" w:w="900"/>
            <w:shd w:fill="12243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PSE × fadiga mental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0,87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0,86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PSE × TMD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0,33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−0,02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0,93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FC × fadiga mental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−0,30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0,14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+0,08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0,69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FC × TMD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−0,18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0,40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+0,11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0,59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TRIMP × fadiga mental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−0,29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0,15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−0,11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0,62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TRIMP × TMD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−0,09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0,66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−0,32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0,12</w:t>
            </w:r>
          </w:p>
        </w:tc>
      </w:tr>
    </w:tbl>
    <w:p>
      <w:pPr>
        <w:spacing w:after="200" w:before="60"/>
        <w:jc w:val="left"/>
      </w:pPr>
      <w:r>
        <w:rPr>
          <w:rFonts w:ascii="Calibri" w:cs="Calibri" w:eastAsia="Calibri" w:hAnsi="Calibri"/>
          <w:i/>
          <w:iCs/>
          <w:color w:val="5B6B82"/>
          <w:sz w:val="17"/>
          <w:szCs w:val="17"/>
        </w:rPr>
        <w:t xml:space="preserve">Tabela 4 — Acoplamento carga interna × humor (n = 25 atletas com carga válida). Nenhuma correlação atinge significância.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Discussão.</w:t>
      </w:r>
      <w:r>
        <w:rPr>
          <w:rFonts w:ascii="Calibri" w:cs="Calibri" w:eastAsia="Calibri" w:hAnsi="Calibri"/>
          <w:sz w:val="21"/>
          <w:szCs w:val="21"/>
        </w:rPr>
        <w:t xml:space="preserve"> A correlação mais forte — TRIMP × Δ TMD = −0,32 — não alcança significância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0,12) e teria sinal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contra-intuitivo</w:t>
      </w:r>
      <w:r>
        <w:rPr>
          <w:rFonts w:ascii="Calibri" w:cs="Calibri" w:eastAsia="Calibri" w:hAnsi="Calibri"/>
          <w:sz w:val="21"/>
          <w:szCs w:val="21"/>
        </w:rPr>
        <w:t xml:space="preserve"> (maior carga fisiológica associada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menor</w:t>
      </w:r>
      <w:r>
        <w:rPr>
          <w:rFonts w:ascii="Calibri" w:cs="Calibri" w:eastAsia="Calibri" w:hAnsi="Calibri"/>
          <w:sz w:val="21"/>
          <w:szCs w:val="21"/>
        </w:rPr>
        <w:t xml:space="preserve"> transtorno de humor). O conjunto converge para uma conclusão robusta e reproduzida em todas as camadas: neste microciclo de intensidade quase-máxima e estável,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resposta aguda do humor é governada por fatores individuais, não pela dose fisiológica de carga interna</w:t>
      </w:r>
      <w:r>
        <w:rPr>
          <w:rFonts w:ascii="Calibri" w:cs="Calibri" w:eastAsia="Calibri" w:hAnsi="Calibri"/>
          <w:sz w:val="21"/>
          <w:szCs w:val="21"/>
        </w:rPr>
        <w:t xml:space="preserve">. Isso não contradiz a literatura de monitoramento — reforça-a: com a carga externa mantida em teto homogêneo, sobra pouca variância de dose para explicar a resposta, e o que resta é a variabilidade interindividual de tolerância (SAW; MAIN; GASTIN, 2016; WIEWELHOVE et al., 2019). Em termos práticos, o humor é um marcador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complementar</w:t>
      </w:r>
      <w:r>
        <w:rPr>
          <w:rFonts w:ascii="Calibri" w:cs="Calibri" w:eastAsia="Calibri" w:hAnsi="Calibri"/>
          <w:sz w:val="21"/>
          <w:szCs w:val="21"/>
        </w:rPr>
        <w:t xml:space="preserve">, não redundante, à carga — mede o que a FC e a PSE não medem.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7  Estrutura multivariada e tipologia de resposta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Considerado o perfil de humor como vetor, o teste de Hotelling T² sobre as seis subescalas fica no limiar da significância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(6,21) = 2,52;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0,054;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 de Mahalanobis = 0,83), mas, quando restrito ao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eixo vigor + fadiga</w:t>
      </w:r>
      <w:r>
        <w:rPr>
          <w:rFonts w:ascii="Calibri" w:cs="Calibri" w:eastAsia="Calibri" w:hAnsi="Calibri"/>
          <w:sz w:val="21"/>
          <w:szCs w:val="21"/>
        </w:rPr>
        <w:t xml:space="preserve">, torna-se claramente significativo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(2,25) = 5,59;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= 0,010) — mais uma confirmação de que a mudança multivariada mora nesse eixo específico, e o afeto negativo apenas dilui o sinal global. A tipologia de atletas, cruzada por dois métodos independentes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k</w:t>
      </w:r>
      <w:r>
        <w:rPr>
          <w:rFonts w:ascii="Calibri" w:cs="Calibri" w:eastAsia="Calibri" w:hAnsi="Calibri"/>
          <w:sz w:val="21"/>
          <w:szCs w:val="21"/>
        </w:rPr>
        <w:t xml:space="preserve">-means e agrupamento hierárquico de Ward), é concordante: cerca de 20–21 atletas formam um grupo de resposta modal, 5–6 um grupo de alta reatividade,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um único atleta</w:t>
      </w:r>
      <w:r>
        <w:rPr>
          <w:rFonts w:ascii="Calibri" w:cs="Calibri" w:eastAsia="Calibri" w:hAnsi="Calibri"/>
          <w:sz w:val="21"/>
          <w:szCs w:val="21"/>
        </w:rPr>
        <w:t xml:space="preserve"> (A06) destaca-se sistematicamente como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outlier</w:t>
      </w:r>
      <w:r>
        <w:rPr>
          <w:rFonts w:ascii="Calibri" w:cs="Calibri" w:eastAsia="Calibri" w:hAnsi="Calibri"/>
          <w:sz w:val="21"/>
          <w:szCs w:val="21"/>
        </w:rPr>
        <w:t xml:space="preserve"> extremo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Figura A4</w:t>
      </w:r>
      <w:r>
        <w:rPr>
          <w:rFonts w:ascii="Calibri" w:cs="Calibri" w:eastAsia="Calibri" w:hAnsi="Calibri"/>
          <w:sz w:val="21"/>
          <w:szCs w:val="21"/>
        </w:rPr>
        <w:t xml:space="preserve"> — dendrograma). Essa tipologia dá forma concreta ao alto ICC: existem perfis de resposta distintos e reprodutíveis, não ruído.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8  Síntese integrada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oito camadas analíticas — descritiva, confiabilidade/invariância, inferência clássica, modelagem mista, ROC, TRIMP, acoplamento e multivariada — apontam de forma convergente para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três conclusões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resposta ao HIIT vive no eixo energético. </w:t>
      </w:r>
      <w:r>
        <w:rPr>
          <w:rFonts w:ascii="Calibri" w:cs="Calibri" w:eastAsia="Calibri" w:hAnsi="Calibri"/>
          <w:sz w:val="21"/>
          <w:szCs w:val="21"/>
        </w:rPr>
        <w:t xml:space="preserve">Fadiga física (marcador-sentinela, dz ≈ 1,0 e único com AUC ≥ 0,70), fadiga, vigor e o PTH se movem; o afeto negativo permanece — com evidência bayesiana positiva de equivalência para confusão, raiva e depressão.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resposta é fortemente individual. </w:t>
      </w:r>
      <w:r>
        <w:rPr>
          <w:rFonts w:ascii="Calibri" w:cs="Calibri" w:eastAsia="Calibri" w:hAnsi="Calibri"/>
          <w:sz w:val="21"/>
          <w:szCs w:val="21"/>
        </w:rPr>
        <w:t xml:space="preserve">ICC de 0,39 a 0,72, acúmulo de PTH heterogêneo entre atletas (variância de inclinação = 1,13) e uma tipologia estável de perfis (com um outlier reprodutível) fundamentam o monitoramento individualizado.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Humor e carga interna são complementares, não redundantes. </w:t>
      </w:r>
      <w:r>
        <w:rPr>
          <w:rFonts w:ascii="Calibri" w:cs="Calibri" w:eastAsia="Calibri" w:hAnsi="Calibri"/>
          <w:sz w:val="21"/>
          <w:szCs w:val="21"/>
        </w:rPr>
        <w:t xml:space="preserve">TRIMP e Foster são independentes entre si (r ≈ −0,05) e nenhuma medida de carga prediz a resposta de humor — o BRUMS mede uma dimensão que a FC e a PSE não capturam.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 ponto de vista aplicado, recomenda-se monitorar rotineiramente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fadiga física</w:t>
      </w:r>
      <w:r>
        <w:rPr>
          <w:rFonts w:ascii="Calibri" w:cs="Calibri" w:eastAsia="Calibri" w:hAnsi="Calibri"/>
          <w:sz w:val="21"/>
          <w:szCs w:val="21"/>
        </w:rPr>
        <w:t xml:space="preserve"> (e o eixo vigor–fadiga) como indicador sensível da carga aguda e do acúmulo semanal, interpretando-o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individualmente</w:t>
      </w:r>
      <w:r>
        <w:rPr>
          <w:rFonts w:ascii="Calibri" w:cs="Calibri" w:eastAsia="Calibri" w:hAnsi="Calibri"/>
          <w:sz w:val="21"/>
          <w:szCs w:val="21"/>
        </w:rPr>
        <w:t xml:space="preserve"> — com atenção especial aos atletas de alta reatividade e ao perfil atípico identificado —, e tratar o humor como camada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complementar</w:t>
      </w:r>
      <w:r>
        <w:rPr>
          <w:rFonts w:ascii="Calibri" w:cs="Calibri" w:eastAsia="Calibri" w:hAnsi="Calibri"/>
          <w:sz w:val="21"/>
          <w:szCs w:val="21"/>
        </w:rPr>
        <w:t xml:space="preserve"> aos marcadores de FC e PSE dentro do sistema de gestão de carga (KELLMANN; WIEWELHOVE et al., 2019; MEEUSEN et al., 2013).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Referências citadas nesta seção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BANISTER, E. W. Modeling elite athletic performance. In: MACDOUGALL, J. D.; WENGER, H. A.; GREEN, H. J. (ed.). Physiological testing of the high-performance athlete. 2. ed. Human Kinetics, 1991. p. 403-424.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BEEDIE, C. J.; TERRY, P. C.; LANE, A. M. The profile of mood states and athletic performance: two meta-analyses. Journal of Applied Sport Psychology, v. 12, n. 1, p. 49-68, 2000.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BENJAMINI, Y.; HOCHBERG, Y. Controlling the false discovery rate. Journal of the Royal Statistical Society B, v. 57, n. 1, p. 289-300, 1995.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BORRESEN, J.; LAMBERT, M. I. The quantification of training load, the training response and the effect on performance. Sports Medicine, v. 39, n. 9, p. 779-795, 2009.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BUCHHEIT, M.; LAURSEN, P. B. High-intensity interval training: solutions to the programming puzzle. Part I. Sports Medicine, v. 43, n. 5, p. 313-338, 2013.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COHEN, J. Statistical power analysis for the behavioral sciences. 2. ed. Erlbaum, 1988.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HALSON, S. L.; JEUKENDRUP, A. E. Does overtraining exist? Sports Medicine, v. 34, n. 14, p. 967-981, 2004.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HENSELER, J.; RINGLE, C. M.; SARSTEDT, M. A new criterion for assessing discriminant validity in variance-based structural equation modeling. Journal of the Academy of Marketing Science, v. 43, p. 115-135, 2015.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MEEUSEN, R. et al. Prevention, diagnosis, and treatment of the overtraining syndrome. Medicine &amp; Science in Sports &amp; Exercise, v. 45, n. 1, p. 186-205, 2013.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MORGAN, W. P. Selected psychological factors limiting performance: a mental health model. In: CLARKE, D. H.; ECKERT, H. M. (ed.). Limits of human performance. Human Kinetics, 1980.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ROEMER, E.; SCHUBERTH, F.; HENSELER, J. HTMT2 — an improved criterion for assessing discriminant validity. Industrial Management &amp; Data Systems, v. 121, n. 12, p. 2637-2650, 2021.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ROHLFS, I. C. P. M. et al. A Escala de Humor de Brunel (BRUMS). Revista Brasileira de Medicina do Esporte, v. 10, n. 6, p. 496-504, 2004.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SAMEJIMA, F. Estimation of latent ability using a response pattern of graded scores. Psychometrika Monograph Supplement, v. 34, n. 4, pt. 2, 1969.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SAW, A. E.; MAIN, L. C.; GASTIN, P. B. Monitoring the athlete training response: subjective self-reported measures trump commonly used objective measures. British Journal of Sports Medicine, v. 50, n. 5, p. 281-291, 2016.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TERRY, P. C.; LANE, A. M.; FOGARTY, G. J. Construct validity of the POMS-A. Psychology of Sport and Exercise, v. 4, n. 2, p. 125-139, 2003.</w:t>
      </w:r>
    </w:p>
    <w:p>
      <w:pPr>
        <w:spacing w:after="80"/>
        <w:ind w:left="360" w:hanging="360"/>
        <w:jc w:val="both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WIEWELHOVE, T. et al. Markers for routine assessment of fatigue and recovery in male and female team sport athletes. PLoS ONE, v. 11, n. 4, 2019.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5B6B82"/>
          <w:sz w:val="16"/>
          <w:szCs w:val="16"/>
        </w:rPr>
        <w:t xml:space="preserve">Figuras referenciadas (A1 AFC · A2 invariância · A3 ROC · A4 dendrograma) estão no diretório figuras/ do pacote analítico. Números reproduzidos a partir dos módulos analises_avancadas/, confiabilidade_invariancia/, estatistica_inferencial/, modelagem/, roc/, trimp/ e acoplamento/.</w:t>
      </w:r>
    </w:p>
    <w:sectPr>
      <w:pgSz w:w="11906" w:h="16838" w:orient="portrait"/>
      <w:pgMar w:top="1200" w:right="1320" w:bottom="120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0E8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2026-07-31T12:17:33.860Z</dcterms:created>
  <dcterms:modified xsi:type="dcterms:W3CDTF">2026-07-31T12:17:33.861Z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