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26"/>
        </w:rPr>
        <w:t>PERFIL DE HUMOR DE ATLETAS DE HANDEBOL DE ELITE NA ÚLTIMA SEMANA DE PRÉ-TEMPORADA</w:t>
      </w:r>
    </w:p>
    <w:p>
      <w:pPr>
        <w:spacing w:before="200" w:after="80" w:line="360" w:lineRule="auto"/>
      </w:pPr>
      <w:r>
        <w:rPr>
          <w:b/>
          <w:sz w:val="24"/>
        </w:rPr>
        <w:t>1 INTRODUÇÃO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acompanhamento do estado psicológico dos atletas consolidou-se como parte essencial da gestão do treinamento no esporte de rendimento. Instrumentos de autorrelato do humor são práticos, econômicos e sensíveis às variações da carga de treino, com utilidade preditiva para o bem-estar e o desempenho (SAW; MAIN; GASTIN, 2016; LOCHBAUM et al., 2021), e documentos de consenso recomendam seu uso rotineiro (KELLMANN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Escala de Humor de Brunel (BRUMS), versão abreviada do POMS, mensura seis dimensões (tensão, depressão, raiva, vigor, fadiga e confusão) em 24 itens de rápida aplicação, com sólidas propriedades psicométricas e validação brasileira (TERRY; LANE; FOGARTY, 2003; ROHLFS et al., 2008, 2023). A literatura recente formalizou seis perfis prototípicos de humor — iceberg, Everest invertido, iceberg invertido, submerso, barbatana de tubarão e superfície —, empregados no rastreamento da prontidão de atletas de elite (PARSONS-SMITH; TERRY; MACHIN, 2017; HAN; PARSONS-SMITH; TERRY, 2020; TERRY et al., 2021).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handebol de quadra é uma modalidade coletiva intermitente e de alta intensidade, cujo microciclo pré-competitivo concentra a carga que antecede a competição (KARCHER; BUCHHEIT, 2014; WAGNER et al., 2014). A tolerância a essa carga depende da aptidão aeróbia intermitente, cujo marcador de campo — o pico de velocidade do Teste de Carminatti (T-CAR) — associa-se ao desempenho físico em modalidades intermitentes (FERNANDES-DA-SILVA et al., 2016). Descrever como cada dimensão do humor se comporta ao longo do microciclo, identificar os dias críticos e relacionar essa resposta a um parâmetro fisiológico fornece à comissão técnica informação diretamente aplicável ao monitoramento individualizado.</w:t>
      </w:r>
    </w:p>
    <w:p>
      <w:pPr>
        <w:spacing w:before="200" w:after="80" w:line="360" w:lineRule="auto"/>
      </w:pPr>
      <w:r>
        <w:rPr>
          <w:b/>
          <w:sz w:val="24"/>
        </w:rPr>
        <w:t>2 OBJETIVO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Objetivo geral: caracterizar e analisar o perfil de humor de atletas de handebol de elite ao longo da última semana de pré-temporada, descrevendo o comportamento de cada dimensão do BRUMS, comparando todos os dias entre si e identificando os dias de maior e menor expressão de cada estado de humor.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Objetivos específicos: (i) caracterizar a amostra; (ii) verificar a normalidade; (iii) descrever a resposta aguda (pré → pós) com tamanho de efeito; (iv) comparar as dimensões entre todos os dias da semana; (v) confirmar as diferenças Dia 1 → Dia 7 e pré → pós por análise multivariada em escores T; (vi) descrever o comportamento individual de cada variável e sua relação com as demais; (vii) identificar os dias de maior fadiga, vigor, tensão, raiva e depressão; (viii) classificar a evolução dos perfis de humor; e (ix) analisar a aptidão intermitente (T-CAR) e o limiar de pico de velocidade.</w:t>
      </w:r>
    </w:p>
    <w:p>
      <w:pPr>
        <w:spacing w:before="200" w:after="80" w:line="360" w:lineRule="auto"/>
      </w:pPr>
      <w:r>
        <w:rPr>
          <w:b/>
          <w:sz w:val="24"/>
        </w:rPr>
        <w:t>3 MÉTODO</w:t>
      </w:r>
    </w:p>
    <w:p>
      <w:pPr>
        <w:spacing w:before="120" w:after="80" w:line="360" w:lineRule="auto"/>
      </w:pPr>
      <w:r>
        <w:rPr>
          <w:b/>
          <w:sz w:val="24"/>
        </w:rPr>
        <w:t>3.1 Delineamento e amostra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Estudo descritivo-comparativo, observacional e de medidas repetidas, conduzido em condições ecológicas durante o microciclo pré-competitivo (21 a 27 de abril de 2024), com 27 atletas de handebol do sexo masculino de nível competitivo, conforme a Declaração de Helsinque e com consentimento informado.</w:t>
      </w:r>
    </w:p>
    <w:p>
      <w:pPr>
        <w:spacing w:before="120" w:after="80" w:line="360" w:lineRule="auto"/>
      </w:pPr>
      <w:r>
        <w:rPr>
          <w:b/>
          <w:sz w:val="24"/>
        </w:rPr>
        <w:t>3.2 Instrumentos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humor foi avaliado pela BRUMS-24 (seis subescalas de 0 a 16). Para a classificação de perfis e a análise multivariada, os escores foram convertidos em escores T (M = 50; DP = 10). A aptidão aeróbia intermitente foi avaliada pelo Teste de Carminatti (T-CAR), com o pico de velocidade (PV) como desfecho (FERNANDES-DA-SILVA et al., 2016); o T-CAR foi aplicado em 15 de abril de 2024, quatro dias de treino antes do início do microciclo, como parâmetro fisiológico de linha de base.</w:t>
      </w:r>
    </w:p>
    <w:p>
      <w:pPr>
        <w:spacing w:before="120" w:after="80" w:line="360" w:lineRule="auto"/>
      </w:pPr>
      <w:r>
        <w:rPr>
          <w:b/>
          <w:sz w:val="24"/>
        </w:rPr>
        <w:t>3.3 Procedimentos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BRUMS foi autoaplicado por formulário eletrônico com registro de data e hora, duas vezes por dia de treino (pré e pós), ao longo de sete dias, totalizando 456 observações válidas.</w:t>
      </w:r>
    </w:p>
    <w:p>
      <w:pPr>
        <w:spacing w:before="120" w:after="80" w:line="360" w:lineRule="auto"/>
      </w:pPr>
      <w:r>
        <w:rPr>
          <w:b/>
          <w:sz w:val="24"/>
        </w:rPr>
        <w:t>3.4 Análise estatística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Empregou-se estatística descritiva (média, desvio-padrão, mediana e amplitude) e o teste de Shapiro-Wilk para a normalidade. As diferenças pré → pós e Dia 1 → Dia 7 foram testadas por Wilcoxon, com tamanho de efeito (d de Cohen: trivial &lt; 0,2; pequeno &lt; 0,5; médio &lt; 0,8; grande ≥ 0,8), e confirmadas por análise multivariada de variância (MANOVA) de medidas repetidas em escores T (lambda de Wilks, F e eta-quadrado parcial). A consistência das medidas repetidas ao longo da semana foi estimada pelo coeficiente de correlação intraclasse (ICC(2,1) e ICC(2,k)). As comparações entre todos os dias usaram o teste de Friedman, com o W de Kendall como tamanho de efeito, e o pós-teste das médias marginais de um modelo misto (Tukey). A associação entre as dimensões foi analisada por correlação de Spearman (ρ). O comportamento individual de cada dimensão foi apresentado graficamente (médias diárias com banda de confiança e diagramas de caixa). A relação do pico de velocidade do T-CAR com a fadiga foi analisada por regressão, com estabelecimento de um limiar (índice de Youden). Adotou-se α = 0,05.</w:t>
      </w:r>
    </w:p>
    <w:p>
      <w:pPr>
        <w:spacing w:before="200" w:after="80" w:line="360" w:lineRule="auto"/>
      </w:pPr>
      <w:r>
        <w:rPr>
          <w:b/>
          <w:sz w:val="24"/>
        </w:rPr>
        <w:t>4 RESULTADOS</w:t>
      </w:r>
    </w:p>
    <w:p>
      <w:pPr>
        <w:spacing w:before="120" w:after="80" w:line="360" w:lineRule="auto"/>
      </w:pPr>
      <w:r>
        <w:rPr>
          <w:b/>
          <w:sz w:val="24"/>
        </w:rPr>
        <w:t>4.1 Caracterização da amostra</w:t>
      </w:r>
    </w:p>
    <w:p>
      <w:pPr>
        <w:spacing w:before="160" w:after="40"/>
      </w:pPr>
      <w:r>
        <w:rPr>
          <w:sz w:val="22"/>
        </w:rPr>
        <w:t>Tabela 1 – Distribuição da amostra por posição de jogo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Posição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%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Armador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40,7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Ala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33,3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Pivô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14,8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Goleiro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Total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100,0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2 – Caracterização sociodemográfica e antropométrica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Idade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17,0–38,0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 (cm)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 (kg)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15,7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Percentual de gordura (%)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Experiência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6,0–23,0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amostra é descrita nas Tabelas 1 e 2.</w:t>
      </w:r>
    </w:p>
    <w:p>
      <w:pPr>
        <w:spacing w:before="120" w:after="80" w:line="360" w:lineRule="auto"/>
      </w:pPr>
      <w:r>
        <w:rPr>
          <w:b/>
          <w:sz w:val="24"/>
        </w:rPr>
        <w:t>4.2 Normalidade das distribuições</w:t>
      </w:r>
    </w:p>
    <w:p>
      <w:pPr>
        <w:spacing w:before="160" w:after="40"/>
      </w:pPr>
      <w:r>
        <w:rPr>
          <w:sz w:val="22"/>
        </w:rPr>
        <w:t>Tabela 3 – Teste de normalidade (Shapiro-Wilk) das dimensões do BRUMS.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Estatística (W)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0,974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0,766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0,489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0,440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seis dimensões não seguem distribuição normal (p &lt; 0,001; Tabela 3), justificando os testes não paramétricos.</w:t>
      </w:r>
    </w:p>
    <w:p>
      <w:pPr>
        <w:spacing w:before="120" w:after="80" w:line="360" w:lineRule="auto"/>
      </w:pPr>
      <w:r>
        <w:rPr>
          <w:b/>
          <w:sz w:val="24"/>
        </w:rPr>
        <w:t>4.3 Estatística descritiva das dimensões</w:t>
      </w:r>
    </w:p>
    <w:p>
      <w:pPr>
        <w:spacing w:before="160" w:after="40"/>
      </w:pPr>
      <w:r>
        <w:rPr>
          <w:sz w:val="22"/>
        </w:rPr>
        <w:t>Tabela 4 – Estatística descritiva das dimensões do BRUMS e da PTH (456 observações).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3,12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4,39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9,64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-12–52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2,73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1,19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0–9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descritiva geral consta na Tabela 4: o vigor e a fadiga concentram as maiores médias e variabilidade.</w:t>
      </w:r>
    </w:p>
    <w:p>
      <w:pPr>
        <w:spacing w:before="120" w:after="80" w:line="360" w:lineRule="auto"/>
      </w:pPr>
      <w:r>
        <w:rPr>
          <w:b/>
          <w:sz w:val="24"/>
        </w:rPr>
        <w:t>4.4 Diferenças entre pré e pós-treino (com tamanho de efeito)</w:t>
      </w:r>
    </w:p>
    <w:p>
      <w:pPr>
        <w:spacing w:before="160" w:after="40"/>
      </w:pPr>
      <w:r>
        <w:rPr>
          <w:sz w:val="22"/>
        </w:rPr>
        <w:t>Tabela 5 – Diferenças entre pré e pós-treino (agregado da semana; Wilcoxon e d de Cohen).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Pré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Pós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 de Cohen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-19%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-0,74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4,50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+34%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5,95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+131%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+0,66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0,420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+37%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0,085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+0,39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0,586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resposta aguda foi consistente (Tabela 5): o vigor caiu (19%; d = -0,74) e a fadiga e a PTH subiram do pré para o pós, com efeito médio.</w:t>
      </w:r>
    </w:p>
    <w:p>
      <w:pPr>
        <w:spacing w:before="120" w:after="80" w:line="360" w:lineRule="auto"/>
      </w:pPr>
      <w:r>
        <w:rPr>
          <w:b/>
          <w:sz w:val="24"/>
        </w:rPr>
        <w:t>4.5 Comportamento diário e comparação entre todos os dias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traj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 – Comportamento das dimensões do humor ao longo da semana (médias diárias; áreas sombreadas = IC95%).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289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bo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2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 – Diagramas de caixa (box plot) das seis dimensões do BRUMS por dia da semana.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6 – Médias diárias das dimensões do BRUMS e teste de Friedman (diferença entre os sete dias).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 (Friedman)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0,022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0,040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0,269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0,039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0,936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0,056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médias diárias e o teste de Friedman constam na Tabela 6 (Figuras 1 e 2): houve diferença significativa entre os dias para o vigor (p = 0,022), a fadiga (p = 0,040), a tensão (p = 0,039) e a confusão (p = &lt; 0,001).</w:t>
      </w:r>
    </w:p>
    <w:p>
      <w:pPr>
        <w:spacing w:before="160" w:after="40"/>
      </w:pPr>
      <w:r>
        <w:rPr>
          <w:sz w:val="22"/>
        </w:rPr>
        <w:t>Tabela 7 – Consistência das medidas repetidas (ICC) e variação entre os sete dias (Friedman e W de Kendall), por dimensão.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ICC(2,1)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ICC(2,k)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Consistência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Friedman χ²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W de Kendall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moderada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0,13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moderada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0,040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0,12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moderada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0,039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0,12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boa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0,936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pobre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12,3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0,11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pobre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25,8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0,23</w:t>
            </w:r>
          </w:p>
        </w:tc>
      </w:tr>
    </w:tbl>
    <w:p>
      <w:pPr>
        <w:spacing w:after="0"/>
      </w:pPr>
      <w:r>
        <w:rPr>
          <w:i/>
          <w:sz w:val="17"/>
        </w:rPr>
        <w:t>ICC = coeficiente de correlação intraclasse; W de Kendall = tamanho de efeito do teste de Friedman (0,1 pequeno; 0,3 moderado; 0,5 grande).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Tabela 7 apresenta a consistência das medidas repetidas (ICC) e o tamanho de efeito da variação entre os dias (W de Kendall): a consistência ao longo da semana foi moderada a boa (mais baixa para a raiva e a confusão, dimensões mais reativas), e a variação entre os dias, embora significativa no eixo energia–fadiga, teve magnitude pequena a moderada — coerente com um microciclo de acúmulo dentro da faixa funcional.</w:t>
      </w:r>
    </w:p>
    <w:p>
      <w:pPr>
        <w:spacing w:before="160" w:after="40"/>
      </w:pPr>
      <w:r>
        <w:rPr>
          <w:sz w:val="22"/>
        </w:rPr>
        <w:t>Tabela 8 – Pós-teste (médias marginais do modelo misto) por dia, com comparação de cada dia ao Dia 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 física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7,45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3,71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4,97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5,26*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6,01*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5,88*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6,73*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5,56*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4,89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5,82*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5,51*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6,13*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4,44*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7,14*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7,60*</w:t>
            </w:r>
          </w:p>
        </w:tc>
      </w:tr>
    </w:tbl>
    <w:p>
      <w:pPr>
        <w:spacing w:after="0"/>
      </w:pPr>
      <w:r>
        <w:rPr>
          <w:i/>
          <w:sz w:val="17"/>
        </w:rPr>
        <w:t>* diferença significativa em relação ao Dia 1 (Tukey, p &lt; 0,05).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em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3 – Trajetória diária (médias marginais) com comparação de todos os dias ao Dia 1 (* p &lt; 0,05).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Comparando todos os dias entre si (pós-teste de Tukey; Tabela 8; Figura 3), o vigor diferiu significativamente em 7 dos 21 pares de dias e a fadiga em 8 — sempre no sentido de piora em relação aos primeiros dias —, confirmando a deterioração progressiva do eixo energia–fadiga ao longo da semana.</w:t>
      </w:r>
    </w:p>
    <w:p>
      <w:pPr>
        <w:spacing w:before="120" w:after="80" w:line="360" w:lineRule="auto"/>
      </w:pPr>
      <w:r>
        <w:rPr>
          <w:b/>
          <w:sz w:val="24"/>
        </w:rPr>
        <w:t>4.6 Confirmação por análise multivariada (MANOVA em escores T)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201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2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4 – Perfil de humor em escores T (M = 50; DP = 10)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9 – Comparação Dia 1 → Dia 7 das seis dimensões em escores T (MANOVA de medidas repetidas; 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η²ₚ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7,28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0,014*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0,267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0,640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0,011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0,920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0,001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56,2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46,1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19,15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-0,95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0,489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46,4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10,98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0,003*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0,354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4,38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0,049*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-0,46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0,179</w:t>
            </w:r>
          </w:p>
        </w:tc>
      </w:tr>
    </w:tbl>
    <w:p>
      <w:pPr>
        <w:spacing w:after="0"/>
      </w:pPr>
      <w:r>
        <w:rPr>
          <w:i/>
          <w:sz w:val="17"/>
        </w:rPr>
        <w:t>Wilks λ = 0,283; F(6,15) = 6,32; p = 0,002; η²ₚ = 0,72. * p &lt; 0,05.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multivariada confirmou a diferença entre o Dia 1 e o Dia 7 (Wilks λ = 0,283; F(6,15) = 6,32; p = 0,002; η²ₚ = 0,72), com efeito concentrado no vigor (d = -0,95) e na fadiga (d = +0,72) (Tabela 9; Figura 4). A resposta aguda pré → pós também foi multivariadamente significativa (Wilks λ = 0,423; p = 0,003), reforçando o achado do eixo energia–fadiga.</w:t>
      </w:r>
    </w:p>
    <w:p>
      <w:pPr>
        <w:spacing w:before="120" w:after="80" w:line="360" w:lineRule="auto"/>
      </w:pPr>
      <w:r>
        <w:rPr>
          <w:b/>
          <w:sz w:val="24"/>
        </w:rPr>
        <w:t>4.7 Dias de maior expressão de cada estado de humor</w:t>
      </w:r>
    </w:p>
    <w:p>
      <w:pPr>
        <w:spacing w:before="160" w:after="40"/>
      </w:pPr>
      <w:r>
        <w:rPr>
          <w:sz w:val="22"/>
        </w:rPr>
        <w:t>Tabela 10 – Dia de maior e de menor expressão de cada dimensão do humor (médias diárias).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maior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menor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7,52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4,70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7,48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3,74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8,00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1,76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1,79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1,18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0,15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Tabela 10 sintetiza os dias de pico: o vigor foi máximo no Dia 1 e mínimo no Dia 7; a fadiga foi máxima no Dia 7; a tensão, máxima no Dia 1; a raiva, máxima no Dia 7; e a depressão, máxima no Dia 4. Em síntese, o início da semana reúne maior prontidão (vigor, tensão e confusão mais altos) e o final concentra a fadiga e a raiva.</w:t>
      </w:r>
    </w:p>
    <w:p>
      <w:pPr>
        <w:spacing w:before="120" w:after="80" w:line="360" w:lineRule="auto"/>
      </w:pPr>
      <w:r>
        <w:rPr>
          <w:b/>
          <w:sz w:val="24"/>
        </w:rPr>
        <w:t>4.8 Comportamento individual de cada variável e suas relações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Figuras 5 a 10 apresentam, para cada dimensão, o comportamento ao longo da semana com a média diária, a banda de confiança de 95% (área sombreada), os diagramas de caixa por dia e o efeito do microciclo, permitindo visualizar individualmente como cada estado de humor evolui.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Vig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5 – Vigor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Fadig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6 – Fadiga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Tensa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7 – Tensão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Depressa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8 – Depressão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Raiv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9 – Raiva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Confusa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10 – Confusão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11 – Correlação de Spearman entre as dimensões do BRUMS com associação significativa (n = 27 atletas).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Par de dimensões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ρ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0,005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0,006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Quanto às relações entre as dimensões (Tabela 11), as dimensões negativas associam-se entre si e a fadiga relaciona-se com a depressão e a raiva; o vigor mantém-se relativamente independente. Esse acoplamento depende da carga: no dia de maior vigor a depressão é independente da fadiga (ρ = +0,20), mas no dia de maior fadiga torna-se forte (ρ = +0,75).</w:t>
      </w:r>
    </w:p>
    <w:p>
      <w:pPr>
        <w:spacing w:before="120" w:after="80" w:line="360" w:lineRule="auto"/>
      </w:pPr>
      <w:r>
        <w:rPr>
          <w:b/>
          <w:sz w:val="24"/>
        </w:rPr>
        <w:t>4.9 Classificação dos perfis de humor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53565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ev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535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11 – Distribuição (%) dos seis perfis de humor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12 – Distribuição dos perfis de humor no primeiro e no último dia da semana: n (%).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1 n (%)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7 n (%)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 (40,5)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(17,4)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 (14,3)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(8,7)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(9,5)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 (6,5)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 (7,1)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(10,9)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(2,4)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(28,3)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 (26,2)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(28,3)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perfil migrou do iceberg (40% no Dia 1) para a barbatana de tubarão (28% no Dia 7), com o iceberg caindo para 17% (Figura 11; Tabela 12).</w:t>
      </w:r>
    </w:p>
    <w:p>
      <w:pPr>
        <w:spacing w:before="120" w:after="80" w:line="360" w:lineRule="auto"/>
      </w:pPr>
      <w:r>
        <w:rPr>
          <w:b/>
          <w:sz w:val="24"/>
        </w:rPr>
        <w:t>4.10 Aptidão intermitente (T-CAR) e limiar de pico de velocidade</w:t>
      </w:r>
    </w:p>
    <w:p>
      <w:pPr>
        <w:spacing w:before="160" w:after="40"/>
      </w:pPr>
      <w:r>
        <w:rPr>
          <w:sz w:val="22"/>
        </w:rPr>
        <w:t>Tabela 13 – Estatística descritiva do desempenho no Teste de Carminatti (T-CAR).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Parâmetro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n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T-CAR1 – pico de velocidade (km/h)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13,2–17,5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T-CAR2 – pico de velocidade (km/h)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15,9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13,8–18,7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ΔPV – ganho na pré-temporada (km/h)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-1,4–1,8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Distância percorrida (m)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3329,3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758,9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2070,0–5360,7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Repetições completadas (n)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45,0–86,0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máxima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198,5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190,0–209,0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de pico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182,5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174,0–191,3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média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178,7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168,9–186,8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Recuperação da FC em 1 min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27,2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19,7–37,3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Impulso de treino – TRIMP (u.a.)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111,8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100,2–121,8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Percepção subjetiva de esforço (0–10)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5,1–8,4</w:t>
            </w:r>
          </w:p>
        </w:tc>
      </w:tr>
    </w:tbl>
    <w:p>
      <w:pPr>
        <w:spacing w:after="0"/>
      </w:pPr>
      <w:r>
        <w:rPr>
          <w:i/>
          <w:sz w:val="17"/>
        </w:rPr>
        <w:t>PV = pico de velocidade; FC = frequência cardíaca; TRIMP = training impulse.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0615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7_scatt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0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12 – Dispersão e reta de regressão (com banda de IC95%) entre o pico de velocidade do T-CAR1 e as médias semanais de vigor, fadiga, PTH e fadiga física.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desempenho no T-CAR consta na Tabela 13. A regressão mostrou que atletas com maior pico de velocidade reportaram menos fadiga física (ρ = -0,54; p = 0,005) e mais vigor (ρ = +0,48; p = 0,015) ao longo da semana (Figura 12). A partir de um modelo que estima a probabilidade de um dia de fadiga elevada em função do pico de velocidade, identificou-se um limiar de aproximadamente 14,9 km/h (área sob a curva = 0,69; sensibilidade = 0,79; especificidade = 0,60): abaixo desse valor, os atletas apresentaram maior probabilidade de dias de fadiga elevada, o que fornece uma referência objetiva para individualizar a carga.</w:t>
      </w:r>
    </w:p>
    <w:p>
      <w:pPr>
        <w:spacing w:before="200" w:after="80" w:line="360" w:lineRule="auto"/>
      </w:pPr>
      <w:r>
        <w:rPr>
          <w:b/>
          <w:sz w:val="24"/>
        </w:rPr>
        <w:t>5 DISCUSSÃO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resposta do humor concentrou-se no eixo energia–fadiga, confirmada tanto pela comparação entre todos os dias (pós-teste) quanto pela análise multivariada em escores T: o vigor caiu com efeito grande e a fadiga subiu com efeito médio, enquanto as dimensões negativas de valência não fadiga permaneceram estáveis. Os dias de pico esclarecem a dinâmica — maior prontidão no início (vigor máximo no Dia 1) e maior fadiga e raiva no final (Dia 7) —, padrão coerente com o acúmulo de carga da pré-temporada e com a literatura de monitoramento (SAW; MAIN; GASTIN, 2016; 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migração do perfil iceberg para o de fadiga reproduz o “derretimento do iceberg” (MORGAN, 1985; HAN; PARSONS-SMITH; TERRY, 2020), e a relação entre a aptidão aeróbia intermitente e a fadiga — sintetizada no limiar de pico de velocidade — reforça a utilidade de integrar um parâmetro fisiológico ao monitoramento do humor, individualizando a interpretação da resposta à carga (FERNANDES-DA-SILVA et al., 2016).</w:t>
      </w:r>
    </w:p>
    <w:p>
      <w:pPr>
        <w:spacing w:before="200" w:after="80" w:line="360" w:lineRule="auto"/>
      </w:pPr>
      <w:r>
        <w:rPr>
          <w:b/>
          <w:sz w:val="24"/>
        </w:rPr>
        <w:t>6 CONSIDERAÇÕES FINAIS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última semana de pré-temporada, o humor dos handebolistas migrou da prontidão para a fadiga, com o vigor em queda e a fadiga em ascensão, do início ao fim da semana e dentro de cada treino, confirmado por comparações entre todos os dias e por análise multivariada. Os dias críticos foram identificados, e a aptidão intermitente mostrou-se associada à fadiga, com um limiar de pico de velocidade útil para individualizar a carga.</w:t>
      </w:r>
    </w:p>
    <w:p>
      <w:pPr>
        <w:spacing w:before="200" w:after="80" w:line="360" w:lineRule="auto"/>
      </w:pPr>
      <w:r>
        <w:rPr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sz w:val="22"/>
        </w:rPr>
        <w:t>FERNANDES-DA-SILVA, J. et al. The peak velocity derived from the Carminatti Test is related to physical match performance in young soccer players. Journal of Sports Sciences, v. 34, n. 24, p. 2238–2245, 2016.</w:t>
      </w:r>
    </w:p>
    <w:p>
      <w:pPr>
        <w:spacing w:line="360" w:lineRule="auto" w:after="120"/>
        <w:jc w:val="both"/>
      </w:pPr>
      <w:r>
        <w:rPr>
          <w:sz w:val="22"/>
        </w:rPr>
        <w:t>HAN, C.; PARSONS-SMITH, R. L.; TERRY, P. C. Mood profiling in Singapore: cross-cultural validation and potential applications of mood profile clusters. Frontiers in Psychology, v. 11, 665, 2020.</w:t>
      </w:r>
    </w:p>
    <w:p>
      <w:pPr>
        <w:spacing w:line="360" w:lineRule="auto" w:after="120"/>
        <w:jc w:val="both"/>
      </w:pPr>
      <w:r>
        <w:rPr>
          <w:sz w:val="22"/>
        </w:rPr>
        <w:t>KARCHER, C.; BUCHHEIT, M. On-court demands of elite handball, with special reference to playing positions. Sports Medicine, v. 44, n. 6, p. 797–814, 2014.</w:t>
      </w:r>
    </w:p>
    <w:p>
      <w:pPr>
        <w:spacing w:line="360" w:lineRule="auto" w:after="120"/>
        <w:jc w:val="both"/>
      </w:pPr>
      <w:r>
        <w:rPr>
          <w:sz w:val="22"/>
        </w:rPr>
        <w:t>KELLMANN, M. et al. Recovery and performance in sport: consensus statement. International Journal of Sports Physiology and Performance, v. 13, n. 2, p. 240–245, 2018.</w:t>
      </w:r>
    </w:p>
    <w:p>
      <w:pPr>
        <w:spacing w:line="360" w:lineRule="auto" w:after="120"/>
        <w:jc w:val="both"/>
      </w:pPr>
      <w:r>
        <w:rPr>
          <w:sz w:val="22"/>
        </w:rPr>
        <w:t>LOCHBAUM, M. et al. The Profile of Mood States and athletic performance: a meta-analysis of published studies. European Journal of Investigation in Health, Psychology and Education, v. 11, n. 1, p. 50–70, 2021.</w:t>
      </w:r>
    </w:p>
    <w:p>
      <w:pPr>
        <w:spacing w:line="360" w:lineRule="auto" w:after="120"/>
        <w:jc w:val="both"/>
      </w:pPr>
      <w:r>
        <w:rPr>
          <w:sz w:val="22"/>
        </w:rPr>
        <w:t>MORGAN, W. P. Selected psychological factors limiting performance: a mental health model. In: CLARKE, D. H.; ECKERT, H. M. (Ed.). Limits of human performance. Champaign: Human Kinetics, 1985. p. 70–80.</w:t>
      </w:r>
    </w:p>
    <w:p>
      <w:pPr>
        <w:spacing w:line="360" w:lineRule="auto" w:after="120"/>
        <w:jc w:val="both"/>
      </w:pPr>
      <w:r>
        <w:rPr>
          <w:sz w:val="22"/>
        </w:rPr>
        <w:t>PARSONS-SMITH, R. L.; TERRY, P. C.; MACHIN, M. A. Identification and description of novel mood profile clusters. Frontiers in Psychology, v. 8, 1958, 2017.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A Escala de Humor de Brunel (Brums). Revista Brasileira de Medicina do Esporte, v. 14, n. 3, p. 176–181, 2008.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Psychometric characteristics of the Brazil Mood Scale among youth and elite athletes. Sports, v. 11, n. 12, 244, 2023.</w:t>
      </w:r>
    </w:p>
    <w:p>
      <w:pPr>
        <w:spacing w:line="360" w:lineRule="auto" w:after="120"/>
        <w:jc w:val="both"/>
      </w:pPr>
      <w:r>
        <w:rPr>
          <w:sz w:val="22"/>
        </w:rPr>
        <w:t>SAW, A. E.; MAIN, L. C.; GASTIN, P. B. Monitoring the athlete training response. British Journal of Sports Medicine, v. 50, n. 5, p. 281–291, 2016.</w:t>
      </w:r>
    </w:p>
    <w:p>
      <w:pPr>
        <w:spacing w:line="360" w:lineRule="auto" w:after="120"/>
        <w:jc w:val="both"/>
      </w:pPr>
      <w:r>
        <w:rPr>
          <w:sz w:val="22"/>
        </w:rPr>
        <w:t>TERRY, P. C.; LANE, A. M.; FOGARTY, G. J. Construct validity of the Profile of Mood States — Adolescents for use with adults. Psychology of Sport and Exercise, v. 4, n. 2, p. 125–139, 2003.</w:t>
      </w:r>
    </w:p>
    <w:p>
      <w:pPr>
        <w:spacing w:line="360" w:lineRule="auto" w:after="120"/>
        <w:jc w:val="both"/>
      </w:pPr>
      <w:r>
        <w:rPr>
          <w:sz w:val="22"/>
        </w:rPr>
        <w:t>TERRY, P. C. et al. Mood profiling for sustainable mental health among athletes. Sustainability, v. 13, n. 11, 6116, 2021.</w:t>
      </w:r>
    </w:p>
    <w:p>
      <w:pPr>
        <w:spacing w:line="360" w:lineRule="auto" w:after="120"/>
        <w:jc w:val="both"/>
      </w:pPr>
      <w:r>
        <w:rPr>
          <w:sz w:val="22"/>
        </w:rPr>
        <w:t>WAGNER, H. et al. Individual and team performance in team-handball: a review. Journal of Sports Science and Medicine, v. 13, n. 4, p. 808–816, 2014.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