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fraca;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1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5580000" cy="3035520"/>
            <wp:docPr id="1" name="Picture 1"/>
            <wp:cNvGraphicFramePr>
              <a:graphicFrameLocks noChangeAspect="1"/>
            </wp:cNvGraphicFramePr>
            <a:graphic>
              <a:graphicData uri="http://schemas.openxmlformats.org/drawingml/2006/picture">
                <pic:pic>
                  <pic:nvPicPr>
                    <pic:cNvPr id="0" name="xb6_clusters.png"/>
                    <pic:cNvPicPr/>
                  </pic:nvPicPr>
                  <pic:blipFill>
                    <a:blip r:embed="rId9"/>
                    <a:stretch>
                      <a:fillRect/>
                    </a:stretch>
                  </pic:blipFill>
                  <pic:spPr>
                    <a:xfrm>
                      <a:off x="0" y="0"/>
                      <a:ext cx="5580000" cy="3035520"/>
                    </a:xfrm>
                    <a:prstGeom prst="rect"/>
                  </pic:spPr>
                </pic:pic>
              </a:graphicData>
            </a:graphic>
          </wp:inline>
        </w:drawing>
      </w:r>
    </w:p>
    <w:p>
      <w:pPr>
        <w:jc w:val="center"/>
      </w:pPr>
      <w:r>
        <w:rPr>
          <w:sz w:val="22"/>
        </w:rPr>
        <w:t>Figura 1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2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860000" cy="2620174"/>
            <wp:docPr id="2" name="Picture 2"/>
            <wp:cNvGraphicFramePr>
              <a:graphicFrameLocks noChangeAspect="1"/>
            </wp:cNvGraphicFramePr>
            <a:graphic>
              <a:graphicData uri="http://schemas.openxmlformats.org/drawingml/2006/picture">
                <pic:pic>
                  <pic:nvPicPr>
                    <pic:cNvPr id="0" name="xb5_profile_d1d7.png"/>
                    <pic:cNvPicPr/>
                  </pic:nvPicPr>
                  <pic:blipFill>
                    <a:blip r:embed="rId10"/>
                    <a:stretch>
                      <a:fillRect/>
                    </a:stretch>
                  </pic:blipFill>
                  <pic:spPr>
                    <a:xfrm>
                      <a:off x="0" y="0"/>
                      <a:ext cx="4860000" cy="2620174"/>
                    </a:xfrm>
                    <a:prstGeom prst="rect"/>
                  </pic:spPr>
                </pic:pic>
              </a:graphicData>
            </a:graphic>
          </wp:inline>
        </w:drawing>
      </w:r>
    </w:p>
    <w:p>
      <w:pPr>
        <w:jc w:val="center"/>
      </w:pPr>
      <w:r>
        <w:rPr>
          <w:sz w:val="22"/>
        </w:rPr>
        <w:t>Figura 2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3).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3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4).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4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5)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5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3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abnt_f1_trajetoria.png"/>
                    <pic:cNvPicPr/>
                  </pic:nvPicPr>
                  <pic:blipFill>
                    <a:blip r:embed="rId11"/>
                    <a:stretch>
                      <a:fillRect/>
                    </a:stretch>
                  </pic:blipFill>
                  <pic:spPr>
                    <a:xfrm>
                      <a:off x="0" y="0"/>
                      <a:ext cx="5580000" cy="3138750"/>
                    </a:xfrm>
                    <a:prstGeom prst="rect"/>
                  </pic:spPr>
                </pic:pic>
              </a:graphicData>
            </a:graphic>
          </wp:inline>
        </w:drawing>
      </w:r>
    </w:p>
    <w:p>
      <w:pPr>
        <w:jc w:val="center"/>
      </w:pPr>
      <w:r>
        <w:rPr>
          <w:sz w:val="22"/>
        </w:rPr>
        <w:t>Figura 3 – Trajetória de vigor, fadiga e perturbação total do humor ao longo dos sete dias.</w:t>
      </w:r>
    </w:p>
    <w:p>
      <w:pPr>
        <w:spacing w:after="120"/>
        <w:jc w:val="center"/>
      </w:pPr>
      <w:r>
        <w:rPr>
          <w:sz w:val="18"/>
        </w:rPr>
        <w:t>Fonte: elaboração dos autores (2026).</w:t>
      </w:r>
    </w:p>
    <w:p>
      <w:pPr>
        <w:spacing w:before="120" w:after="80" w:line="360" w:lineRule="auto"/>
      </w:pPr>
      <w:r>
        <w:rPr>
          <w:b/>
          <w:sz w:val="24"/>
        </w:rPr>
        <w:t>4.5 Variação entre pré e pós-treino (Wilcoxon)</w:t>
      </w:r>
    </w:p>
    <w:p>
      <w:pPr>
        <w:spacing w:line="360" w:lineRule="auto" w:after="0"/>
        <w:ind w:firstLine="709"/>
        <w:jc w:val="both"/>
      </w:pPr>
      <w:r>
        <w:rPr>
          <w:b w:val="0"/>
          <w:sz w:val="24"/>
        </w:rPr>
        <w:t>A comparação entre pré e pós-treino pelo teste de Wilcoxon (Tabela 6)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6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abnt_f_prepos.png"/>
                    <pic:cNvPicPr/>
                  </pic:nvPicPr>
                  <pic:blipFill>
                    <a:blip r:embed="rId12"/>
                    <a:stretch>
                      <a:fillRect/>
                    </a:stretch>
                  </pic:blipFill>
                  <pic:spPr>
                    <a:xfrm>
                      <a:off x="0" y="0"/>
                      <a:ext cx="5580000" cy="3138750"/>
                    </a:xfrm>
                    <a:prstGeom prst="rect"/>
                  </pic:spPr>
                </pic:pic>
              </a:graphicData>
            </a:graphic>
          </wp:inline>
        </w:drawing>
      </w:r>
    </w:p>
    <w:p>
      <w:pPr>
        <w:jc w:val="center"/>
      </w:pPr>
      <w:r>
        <w:rPr>
          <w:sz w:val="22"/>
        </w:rPr>
        <w:t>Figura 4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4.6 Relações entre as dimensões (Spearman)</w:t>
      </w:r>
    </w:p>
    <w:p>
      <w:pPr>
        <w:spacing w:line="360" w:lineRule="auto" w:after="0"/>
        <w:ind w:firstLine="709"/>
        <w:jc w:val="both"/>
      </w:pPr>
      <w:r>
        <w:rPr>
          <w:b w:val="0"/>
          <w:sz w:val="24"/>
        </w:rPr>
        <w:t>As correlações de Spearman entre as dimensões (Tabela 7)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7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200" w:after="80" w:line="360" w:lineRule="auto"/>
      </w:pPr>
      <w:r>
        <w:rPr>
          <w:b/>
          <w:sz w:val="24"/>
        </w:rPr>
        <w:t>REFERÊNCIAS</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