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o que resultou em 456 observações pareadas por atleta.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O conjunto reuniu 456 observações pareadas por atleta,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 5,98]</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6,00]</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[5,90; 6,33]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1,56]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231%</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1,21]</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1,85]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0,56]</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[3,51; 5,28]</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 0,76]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 0,84]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0,75]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 0,98]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 0,70]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[0,76;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0,71</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0,85]</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0,95</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 0,98]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0,03]</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-0,22]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[-1,87; -0,64]</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-0,26]</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5,46</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+0,62</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 fadiga</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-0,38</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0,831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0,416</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0,369</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0,076</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0,657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0,677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0,774</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5,48</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0,867</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0,867</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11,3</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8,82</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0,771</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ANÁLISE DE SENSIBILIDADE: DOIS CAMINHOS (N = 19 E N = 27)</w:t>
      </w:r>
    </w:p>
    <w:p>
      <w:pPr>
        <w:spacing w:after="0" w:before="0" w:line="360" w:lineRule="auto"/>
        <w:ind w:firstLine="709"/>
        <w:jc w:val="both"/>
      </w:pPr>
      <w:r>
        <w:rPr>
          <w:rFonts w:ascii="Times New Roman" w:cs="Times New Roman" w:eastAsia="Times New Roman" w:hAnsi="Times New Roman"/>
          <w:color w:val="000000"/>
          <w:sz w:val="24"/>
          <w:szCs w:val="24"/>
        </w:rPr>
        <w:t xml:space="preserve">Dos 27 atletas, apenas 19 responderam nos sete dias. Como a análise de variância de medidas repetidas exige desenho balanceado, o resultado principal deste estudo repousa sobre esses 19 casos completos, sem qualquer imputação. Convém, porém, examinar a robustez dessa escolha, pois a decisão de aproveitar ou não os oito atletas com dias ausentes altera o poder estatístico. Esta seção confronta dois caminhos e acrescenta um terceiro como árbitro.</w:t>
      </w:r>
    </w:p>
    <w:p>
      <w:pPr>
        <w:spacing w:after="0" w:before="0" w:line="360" w:lineRule="auto"/>
        <w:ind w:firstLine="709"/>
        <w:jc w:val="both"/>
      </w:pPr>
      <w:r>
        <w:rPr>
          <w:rFonts w:ascii="Times New Roman" w:cs="Times New Roman" w:eastAsia="Times New Roman" w:hAnsi="Times New Roman"/>
          <w:color w:val="000000"/>
          <w:sz w:val="24"/>
          <w:szCs w:val="24"/>
        </w:rPr>
        <w:t xml:space="preserve">O primeiro caminho mantém os 19 casos completos. O segundo recupera os 27 atletas e preenche cada dia ausente com a média do grupo naquele dia, procedimento simples porém consequente. O terceiro caminho, tomado como referência por não impor suposições artificiais, ajusta um modelo misto aos 27 atletas com os dados efetivamente observados, no qual o dia entra como efeito fixo e o atleta como efeito aleatório.</w:t>
      </w:r>
    </w:p>
    <w:p>
      <w:pPr>
        <w:keepNext/>
        <w:spacing w:after="40" w:before="160" w:line="240"/>
        <w:jc w:val="center"/>
      </w:pPr>
      <w:r>
        <w:rPr>
          <w:rFonts w:ascii="Times New Roman" w:cs="Times New Roman" w:eastAsia="Times New Roman" w:hAnsi="Times New Roman"/>
          <w:b/>
          <w:bCs/>
          <w:color w:val="000000"/>
          <w:sz w:val="20"/>
          <w:szCs w:val="20"/>
        </w:rPr>
        <w:t xml:space="preserve">Figura 11</w:t>
      </w:r>
      <w:r>
        <w:rPr>
          <w:rFonts w:ascii="Times New Roman" w:cs="Times New Roman" w:eastAsia="Times New Roman" w:hAnsi="Times New Roman"/>
          <w:color w:val="000000"/>
          <w:sz w:val="20"/>
          <w:szCs w:val="20"/>
        </w:rPr>
        <w:t xml:space="preserve"> – Estatística F por variável nos caminhos n = 19 (sem imputação) e n = 27 (imputado). A estrela marca o efeito de dia significativo (ANOVA com correção de Greenhouse-Geisser)</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15</w:t>
      </w:r>
      <w:r>
        <w:rPr>
          <w:rFonts w:ascii="Times New Roman" w:cs="Times New Roman" w:eastAsia="Times New Roman" w:hAnsi="Times New Roman"/>
          <w:color w:val="000000"/>
          <w:sz w:val="20"/>
          <w:szCs w:val="20"/>
        </w:rPr>
        <w:t xml:space="preserve"> – Omnibus do efeito de dia pelos três caminhos</w:t>
      </w:r>
    </w:p>
    <w:tbl>
      <w:tblPr>
        <w:tblW w:type="dxa" w:w="9505"/>
        <w:tblBorders>
          <w:top w:val="single" w:color="000000" w:sz="6"/>
          <w:left w:val="none"/>
          <w:bottom w:val="single" w:color="000000" w:sz="6"/>
          <w:right w:val="none"/>
          <w:insideH w:val="none"/>
          <w:insideV w:val="none"/>
        </w:tblBorders>
      </w:tblPr>
      <w:tblGrid>
        <w:gridCol w:w="2005"/>
        <w:gridCol w:w="1250"/>
        <w:gridCol w:w="1250"/>
        <w:gridCol w:w="1250"/>
        <w:gridCol w:w="1250"/>
        <w:gridCol w:w="1250"/>
        <w:gridCol w:w="125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(misto)</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Efeito de dia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mental</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0,206</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bl>
    <w:p>
      <w:pPr>
        <w:spacing w:after="180" w:before="40" w:line="240"/>
        <w:jc w:val="left"/>
      </w:pPr>
      <w:r>
        <w:rPr>
          <w:rFonts w:ascii="Times New Roman" w:cs="Times New Roman" w:eastAsia="Times New Roman" w:hAnsi="Times New Roman"/>
          <w:color w:val="3f3f3f"/>
          <w:sz w:val="20"/>
          <w:szCs w:val="20"/>
        </w:rPr>
        <w:t xml:space="preserve">Nota: n19 = casos completos sem imputação; n27 = imputado pela média do dia; misto = modelo misto n = 27 sem imputação (efeito de dia por teste de Wald). Na última coluna, 19/27/M indicam em quais caminhos o efeito de dia é significativo.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conjunta traz tranquilidade quanto ao essencial e cautela quanto ao detalhe. A direção e a hierarquia das variáveis permanecem idênticas nos três caminhos: a fadiga física lidera com folga e o vigor a acompanha. As duas vias omnibus, a paramétrica com correção de esfericidade e a de Friedman, concordam integralmente sobre quais variáveis têm efeito de dia. O que oscila é a contagem no limiar, de seis variáveis em n = 19 para sete em n = 27, e a magnitude do F.</w:t>
      </w:r>
    </w:p>
    <w:p>
      <w:pPr>
        <w:spacing w:after="0" w:before="0" w:line="360" w:lineRule="auto"/>
        <w:ind w:firstLine="709"/>
        <w:jc w:val="both"/>
      </w:pPr>
      <w:r>
        <w:rPr>
          <w:rFonts w:ascii="Times New Roman" w:cs="Times New Roman" w:eastAsia="Times New Roman" w:hAnsi="Times New Roman"/>
          <w:color w:val="000000"/>
          <w:sz w:val="24"/>
          <w:szCs w:val="24"/>
        </w:rPr>
        <w:t xml:space="preserve">A explicação para essa oscilação é instrutiva. A imputação pela média do dia coloca o valor ausente exatamente sobre a média, o que encolhe de forma artificial a variância de erro e eleva o F sem elevar na mesma proporção o tamanho de efeito. Por isso o F da fadiga física salta de 13,0 em n = 19 para 20,9 em n = 27 imputado, ao passo que o η²ₚ mal se move, de 0,42 para 0,45. A perturbação total do humor ilustra a fronteira: fica aquém do limiar em n = 19 e o cruza em n = 27. Um ponto merece destaque: o modelo misto, que não imputa nada, também acusa a sétima variável como significativa, o que mostra que o ganho não é mero artefato da imputação, e sim reflexo do maior poder da amostra completa.</w:t>
      </w:r>
    </w:p>
    <w:p>
      <w:pPr>
        <w:spacing w:after="0" w:before="0" w:line="360" w:lineRule="auto"/>
        <w:ind w:firstLine="709"/>
        <w:jc w:val="both"/>
      </w:pPr>
      <w:r>
        <w:rPr>
          <w:rFonts w:ascii="Times New Roman" w:cs="Times New Roman" w:eastAsia="Times New Roman" w:hAnsi="Times New Roman"/>
          <w:color w:val="000000"/>
          <w:sz w:val="24"/>
          <w:szCs w:val="24"/>
        </w:rPr>
        <w:t xml:space="preserve">A recomendação que decorre desta análise é dupla. Convém relatar o caminho de casos completos como resultado principal, por ser o mais conservador e livre de suposições, e apresentar o modelo misto como a via correta para aproveitar os 27 atletas quando o objetivo for maximizar o poder. A imputação pela média do dia, embora simples, deve ser evitada como base de inferência, justamente porque infla a estatística de teste. A transparência sobre o tamanho da amostra e o tratamento dos dias ausentes é, portanto, parte inseparável do relato.</w:t>
      </w:r>
    </w:p>
    <w:p>
      <w:pPr>
        <w:keepNext/>
        <w:spacing w:after="90" w:before="200" w:line="360" w:lineRule="auto"/>
      </w:pPr>
      <w:r>
        <w:rPr>
          <w:rFonts w:ascii="Times New Roman" w:cs="Times New Roman" w:eastAsia="Times New Roman" w:hAnsi="Times New Roman"/>
          <w:b/>
          <w:bCs/>
          <w:color w:val="000000"/>
          <w:sz w:val="24"/>
          <w:szCs w:val="24"/>
        </w:rPr>
        <w:t xml:space="preserve">5.1 Padronização dos perfis: referência interna × externa (ilustrativa)</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dos perfis de humor deste estudo padroniza cada subescala contra a média e o desvio padrão da própria amostra, ou seja, adota uma referência interna. Convém examinar o quanto essa escolha condiciona os rótulos, pois a alternativa seria padronizar contra uma referência externa, isto é, contra normas de uma população. A Tabela 16 apresenta, a título ilustrativo, o contraste entre a prevalência dos perfis obtida pela referência interna e por uma referência externa representativa das normas adultas do BRUMS. Convém frisar que os valores externos empregados são ilustrativos, não reproduzem verbatim nenhuma tabela publicada e servem apenas para evidenciar o efeito da escolha; para uma análise definitiva bastaria substituí-los pelas normas oficiais (Terry, Lane e Fogarty, 2003; ou as normas brasileiras de Rohlfs et al., 2008).</w:t>
      </w:r>
    </w:p>
    <w:p>
      <w:pPr>
        <w:keepNext/>
        <w:spacing w:after="40" w:before="160" w:line="240"/>
        <w:jc w:val="left"/>
      </w:pPr>
      <w:r>
        <w:rPr>
          <w:rFonts w:ascii="Times New Roman" w:cs="Times New Roman" w:eastAsia="Times New Roman" w:hAnsi="Times New Roman"/>
          <w:b/>
          <w:bCs/>
          <w:color w:val="000000"/>
          <w:sz w:val="20"/>
          <w:szCs w:val="20"/>
        </w:rPr>
        <w:t xml:space="preserve">Tabela 16</w:t>
      </w:r>
      <w:r>
        <w:rPr>
          <w:rFonts w:ascii="Times New Roman" w:cs="Times New Roman" w:eastAsia="Times New Roman" w:hAnsi="Times New Roman"/>
          <w:color w:val="000000"/>
          <w:sz w:val="20"/>
          <w:szCs w:val="20"/>
        </w:rPr>
        <w:t xml:space="preserve"> – Prevalência dos perfis de humor sob padronização interna e externa (ilustrativa)</w:t>
      </w:r>
    </w:p>
    <w:tbl>
      <w:tblPr>
        <w:tblW w:type="dxa" w:w="9505"/>
        <w:tblBorders>
          <w:top w:val="single" w:color="000000" w:sz="6"/>
          <w:left w:val="none"/>
          <w:bottom w:val="single" w:color="000000" w:sz="6"/>
          <w:right w:val="none"/>
          <w:insideH w:val="none"/>
          <w:insideV w:val="none"/>
        </w:tblBorders>
      </w:tblPr>
      <w:tblGrid>
        <w:gridCol w:w="4705"/>
        <w:gridCol w:w="2400"/>
        <w:gridCol w:w="2400"/>
      </w:tblGrid>
      <w:tr>
        <w:trPr>
          <w:tblHeader/>
        </w:trPr>
        <w:tc>
          <w:tcPr>
            <w:tcW w:type="dxa" w:w="4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Interno (amostra)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Externo (ilustrativo)</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r>
      <w:tr>
        <w:tc>
          <w:tcPr>
            <w:tcW w:type="dxa" w:w="4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w:t>
            </w:r>
          </w:p>
        </w:tc>
      </w:tr>
    </w:tbl>
    <w:p>
      <w:pPr>
        <w:spacing w:after="180" w:before="40" w:line="240"/>
        <w:jc w:val="left"/>
      </w:pPr>
      <w:r>
        <w:rPr>
          <w:rFonts w:ascii="Times New Roman" w:cs="Times New Roman" w:eastAsia="Times New Roman" w:hAnsi="Times New Roman"/>
          <w:color w:val="3f3f3f"/>
          <w:sz w:val="20"/>
          <w:szCs w:val="20"/>
        </w:rPr>
        <w:t xml:space="preserve">Nota: interno = z contra a média/DP da amostra; externo = z contra referência ilustrativa de normas adultas do BRUMS.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é instrutivo. Sob a referência interna, a média da amostra corresponde ao ponto neutro, de modo que o elenco se distribui em torno dos perfis favoráveis, com predomínio de iceberg e superfície. Sob a referência externa, ancorada em uma população de vigor mais elevado, os escores absolutos desta equipe situam-se abaixo da referência e a maioria das respostas migra para o perfil submerso. A lição metodológica é direta: o rótulo do perfil é relativo à referência adotada e não deve ser lido como categoria absoluta.</w:t>
      </w:r>
    </w:p>
    <w:p>
      <w:pPr>
        <w:spacing w:after="0" w:before="0" w:line="360" w:lineRule="auto"/>
        <w:ind w:firstLine="709"/>
        <w:jc w:val="both"/>
      </w:pPr>
      <w:r>
        <w:rPr>
          <w:rFonts w:ascii="Times New Roman" w:cs="Times New Roman" w:eastAsia="Times New Roman" w:hAnsi="Times New Roman"/>
          <w:color w:val="000000"/>
          <w:sz w:val="24"/>
          <w:szCs w:val="24"/>
        </w:rPr>
        <w:t xml:space="preserve">Um ponto tranquiliza quanto à leitura dinâmica do estudo. Embora a prevalência absoluta mude de forma expressiva entre as duas referências, a direção da migração ao longo da semana permanece a mesma nos dois modos, pois o perfil iceberg recua de D1 a D7 tanto na padronização interna quanto na externa. Assim, a interpretação central, a erosão do estado favorável conforme a carga se acumula, é robusta à escolha da referência, ainda que os rótulos absolutos dependam dela. Por essa razão, o estudo relata os perfis como descrição transversal do próprio elenco, e não como norma populacional.</w:t>
      </w:r>
    </w:p>
    <w:p>
      <w:pPr>
        <w:keepNext/>
        <w:spacing w:after="90" w:before="200" w:line="360" w:lineRule="auto"/>
      </w:pPr>
      <w:r>
        <w:rPr>
          <w:rFonts w:ascii="Times New Roman" w:cs="Times New Roman" w:eastAsia="Times New Roman" w:hAnsi="Times New Roman"/>
          <w:b/>
          <w:bCs/>
          <w:color w:val="000000"/>
          <w:sz w:val="24"/>
          <w:szCs w:val="24"/>
        </w:rPr>
        <w:t xml:space="preserve">5.2 Confirmação da triangulação por métodos convergentes</w:t>
      </w:r>
    </w:p>
    <w:p>
      <w:pPr>
        <w:spacing w:after="0" w:before="0" w:line="360" w:lineRule="auto"/>
        <w:ind w:firstLine="709"/>
        <w:jc w:val="both"/>
      </w:pPr>
      <w:r>
        <w:rPr>
          <w:rFonts w:ascii="Times New Roman" w:cs="Times New Roman" w:eastAsia="Times New Roman" w:hAnsi="Times New Roman"/>
          <w:color w:val="000000"/>
          <w:sz w:val="24"/>
          <w:szCs w:val="24"/>
        </w:rPr>
        <w:t xml:space="preserve">A robustez de uma triangulação depende de os seus valores resistirem a mais de uma via de cálculo. Por isso, cada contraste e cada efeito agudo foi reavaliado por três caminhos independentes, a saber, o teste de Wilcoxon pareado, um teste de permutação por troca de sinais e o intervalo de confiança de 95% do tamanho de efeito obtido por reamostragem. A concordância entre as três vias serve de selo de confiança. O acordo foi elevado: 7 dos 8 contrastes e 23 dos 24 efeitos agudos apontaram no mesmo sentido pelas três abordagens.</w:t>
      </w:r>
    </w:p>
    <w:p>
      <w:pPr>
        <w:keepNext/>
        <w:spacing w:after="40" w:before="160" w:line="240"/>
        <w:jc w:val="left"/>
      </w:pPr>
      <w:r>
        <w:rPr>
          <w:rFonts w:ascii="Times New Roman" w:cs="Times New Roman" w:eastAsia="Times New Roman" w:hAnsi="Times New Roman"/>
          <w:b/>
          <w:bCs/>
          <w:color w:val="000000"/>
          <w:sz w:val="20"/>
          <w:szCs w:val="20"/>
        </w:rPr>
        <w:t xml:space="preserve">Tabela 17</w:t>
      </w:r>
      <w:r>
        <w:rPr>
          <w:rFonts w:ascii="Times New Roman" w:cs="Times New Roman" w:eastAsia="Times New Roman" w:hAnsi="Times New Roman"/>
          <w:color w:val="000000"/>
          <w:sz w:val="20"/>
          <w:szCs w:val="20"/>
        </w:rPr>
        <w:t xml:space="preserve"> – Confirmação do contraste HIIT versus jogo por três vias independentes</w:t>
      </w:r>
    </w:p>
    <w:tbl>
      <w:tblPr>
        <w:tblW w:type="dxa" w:w="9505"/>
        <w:tblBorders>
          <w:top w:val="single" w:color="000000" w:sz="6"/>
          <w:left w:val="none"/>
          <w:bottom w:val="single" w:color="000000" w:sz="6"/>
          <w:right w:val="none"/>
          <w:insideH w:val="none"/>
          <w:insideV w:val="none"/>
        </w:tblBorders>
      </w:tblPr>
      <w:tblGrid>
        <w:gridCol w:w="2005"/>
        <w:gridCol w:w="1000"/>
        <w:gridCol w:w="1900"/>
        <w:gridCol w:w="1500"/>
        <w:gridCol w:w="1500"/>
        <w:gridCol w:w="16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do dz</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Permutação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Três vias</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0,85]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0,91]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0,029</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[0,24; 0,68]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0,014</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0,83]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0,076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parcial</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0,75]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0,092</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0,323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0,36]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0,677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0,998</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 0,38]</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0,867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IC 95% por bootstrap; permutação por troca de sinais (sign-flip).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três dimensões afetivas que separam os estímulos, a raiva, a perturbação total do humor e a depressão, apresentaram intervalo de confiança do tamanho de efeito inteiramente acima de zero e permutação significativa, o que reforça o achado para além do teste original. A confusão ficou no limiar, com concordância apenas parcial entre as vias. Nenhum contraste sobrevive à correção por comparações múltiplas, resultado esperado com oito testes, de modo que o conjunto vale como padrão convergente e não como diferença individual confirmada. A associação entre sono e perfil recebeu igual reforço: além do teste de Kruskal-Wallis, uma prova de tendência de Kendall para grupos ordenados confirmou que o grupo de risco é o mais sonolento.</w:t>
      </w:r>
    </w:p>
    <w:p>
      <w:pPr>
        <w:spacing w:after="0" w:before="0" w:line="360" w:lineRule="auto"/>
        <w:ind w:firstLine="709"/>
        <w:jc w:val="both"/>
      </w:pPr>
      <w:r>
        <w:rPr>
          <w:rFonts w:ascii="Times New Roman" w:cs="Times New Roman" w:eastAsia="Times New Roman" w:hAnsi="Times New Roman"/>
          <w:color w:val="000000"/>
          <w:sz w:val="24"/>
          <w:szCs w:val="24"/>
        </w:rPr>
        <w:t xml:space="preserve">Uma propriedade matemática esclarece o alcance da análise de padronização apresentada na Seção 5.1. Os tamanhos de efeito padronizados e o coeficiente intraclasse são invariantes à padronização linear por variável, pois subtrair uma média e dividir por um desvio padrão constante cancela no numerador e no denominador do dz. A verificação numérica confirmou a igualdade: raiva, perturbação do humor e depressão produzem o mesmo dz nos escores brutos e nos escores padronizados por referência externa, com diferença inferior a um milésimo de milésimo. Assim, apenas as partes que dependem do rótulo do perfil variam com a referência adotada, ao passo que o núcleo quantitativo da triangulação permanece o mesmo.</w:t>
      </w:r>
    </w:p>
    <w:p>
      <w:pPr>
        <w:keepNext/>
        <w:spacing w:after="90" w:before="200" w:line="360" w:lineRule="auto"/>
      </w:pPr>
      <w:r>
        <w:rPr>
          <w:rFonts w:ascii="Times New Roman" w:cs="Times New Roman" w:eastAsia="Times New Roman" w:hAnsi="Times New Roman"/>
          <w:b/>
          <w:bCs/>
          <w:color w:val="000000"/>
          <w:sz w:val="24"/>
          <w:szCs w:val="24"/>
        </w:rPr>
        <w:t xml:space="preserve">5.3 Síntese das associações e relações significativas</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18 reúne, em um único quadro, as associações e as relações que alcançaram significância estatística ao longo do estudo. A consolidação facilita a leitura de conjunto e evidencia que os achados relevantes se concentram em três frentes: o contraste afetivo entre estímulos, o acoplamento entre sono e humor e a coesão interna das dimensões negativas.</w:t>
      </w:r>
    </w:p>
    <w:p>
      <w:pPr>
        <w:keepNext/>
        <w:spacing w:after="40" w:before="160" w:line="240"/>
        <w:jc w:val="left"/>
      </w:pPr>
      <w:r>
        <w:rPr>
          <w:rFonts w:ascii="Times New Roman" w:cs="Times New Roman" w:eastAsia="Times New Roman" w:hAnsi="Times New Roman"/>
          <w:b/>
          <w:bCs/>
          <w:color w:val="000000"/>
          <w:sz w:val="20"/>
          <w:szCs w:val="20"/>
        </w:rPr>
        <w:t xml:space="preserve">Tabela 18</w:t>
      </w:r>
      <w:r>
        <w:rPr>
          <w:rFonts w:ascii="Times New Roman" w:cs="Times New Roman" w:eastAsia="Times New Roman" w:hAnsi="Times New Roman"/>
          <w:color w:val="000000"/>
          <w:sz w:val="20"/>
          <w:szCs w:val="20"/>
        </w:rPr>
        <w:t xml:space="preserve"> – Associações e relações estatisticamente significativas do estudo</w:t>
      </w:r>
    </w:p>
    <w:tbl>
      <w:tblPr>
        <w:tblW w:type="dxa" w:w="9505"/>
        <w:tblBorders>
          <w:top w:val="single" w:color="000000" w:sz="6"/>
          <w:left w:val="none"/>
          <w:bottom w:val="single" w:color="000000" w:sz="6"/>
          <w:right w:val="none"/>
          <w:insideH w:val="none"/>
          <w:insideV w:val="none"/>
        </w:tblBorders>
      </w:tblPr>
      <w:tblGrid>
        <w:gridCol w:w="3205"/>
        <w:gridCol w:w="1300"/>
        <w:gridCol w:w="1300"/>
        <w:gridCol w:w="2400"/>
        <w:gridCol w:w="1300"/>
      </w:tblGrid>
      <w:tr>
        <w:trPr>
          <w:tblHeader/>
        </w:trPr>
        <w:tc>
          <w:tcPr>
            <w:tcW w:type="dxa" w:w="3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Relação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Estimativa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 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Método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[0,24; 0,68]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[0,12; 0,85]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PTH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[0,10;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Estresse (PSS): jogo &lt; HIIT</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 pareado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Sonolência (Epworth) × grupo de perfil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tendência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τ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 · Kruskal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Kendall + Kruskal</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+0,55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bl>
    <w:p>
      <w:pPr>
        <w:spacing w:after="180" w:before="40" w:line="240"/>
        <w:jc w:val="left"/>
      </w:pPr>
      <w:r>
        <w:rPr>
          <w:rFonts w:ascii="Times New Roman" w:cs="Times New Roman" w:eastAsia="Times New Roman" w:hAnsi="Times New Roman"/>
          <w:color w:val="3f3f3f"/>
          <w:sz w:val="20"/>
          <w:szCs w:val="20"/>
        </w:rPr>
        <w:t xml:space="preserve">Nota: dz = tamanho de efeito para medidas repetidas; ρ = correlação de Spearman no nível do atleta; τ = tau de Kendall para tendência entre grupos ordenados. Apenas relações com p &lt; 0,05.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quadro consolidado confirma a leitura central do estudo. O afeto negativo, com destaque para a raiva, a depressão e a perturbação total do humor, é o que distingue o HIIT do jogo. O estresse percebido recua no dia de jogo. A sonolência acompanha o perfil de humor, com o grupo de risco mais sonolento. E as dimensões negativas correlacionam-se entre si de forma consistente, o que sustenta o uso da perturbação total do humor como resumo do afeto. Nenhuma dessas relações isoladas sobrevive de modo automático à correção por múltiplas comparações, porém a convergência entre métodos e entre pares confere ao conjunto uma credibilidade que um teste solitário não alcançaria.</w:t>
      </w:r>
    </w:p>
    <w:p>
      <w:pPr>
        <w:keepNext/>
        <w:spacing w:after="140" w:before="300" w:line="360" w:lineRule="auto"/>
      </w:pPr>
      <w:r>
        <w:rPr>
          <w:rFonts w:ascii="Times New Roman" w:cs="Times New Roman" w:eastAsia="Times New Roman" w:hAnsi="Times New Roman"/>
          <w:b/>
          <w:bCs/>
          <w:color w:val="000000"/>
          <w:sz w:val="24"/>
          <w:szCs w:val="24"/>
        </w:rPr>
        <w:t xml:space="preserve">6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6af388e976ec0942759538e204dcb10c67fae2e7.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b1d88f8a56191ac42e73c4f84cee2fc7fe088554.png"/><Relationship Id="rId14" Type="http://schemas.openxmlformats.org/officeDocument/2006/relationships/image" Target="media/91daa969faced6131d603a054f60bee18ec7b8af.png"/><Relationship Id="rId15" Type="http://schemas.openxmlformats.org/officeDocument/2006/relationships/image" Target="media/4d238b513aca9380d2d0d024b768b0e0ffe44220.png"/><Relationship Id="rId16" Type="http://schemas.openxmlformats.org/officeDocument/2006/relationships/image" Target="media/734b3d3867b26f43410c173213115671610a98f7.png"/><Relationship Id="rId17" Type="http://schemas.openxmlformats.org/officeDocument/2006/relationships/image" Target="media/bfbfb4c87fc6d8ad407a5f6847b4772813ac7198.png"/><Relationship Id="rId18" Type="http://schemas.openxmlformats.org/officeDocument/2006/relationships/image" Target="media/63371de3f06bc581f0f541081e7c387d4921e50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2026-08-24T18:07:34.501Z</dcterms:created>
  <dcterms:modified xsi:type="dcterms:W3CDTF">2026-08-24T18:07:34.501Z</dcterms:modified>
</cp:coreProperties>
</file>

<file path=docProps/custom.xml><?xml version="1.0" encoding="utf-8"?>
<Properties xmlns="http://schemas.openxmlformats.org/officeDocument/2006/custom-properties" xmlns:vt="http://schemas.openxmlformats.org/officeDocument/2006/docPropsVTypes"/>
</file>