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As variáveis psicológicas associam-se ao desempenho e à saúde do atleta e manifestam-se, no handebol, sob a oposição direta do adversário, tanto no treinamento quanto na competição. O objetivo foi analisar o estado da arte das evidências científicas sobre as variáveis psicológicas investigadas no treinamento e na competição do handebol, com ênfase nos estudos de intervenção, por meio de uma revisão de mapeamento. A busca foi realizada em oito bases de dados, sem restrição de data, entre maio e setembro de 2026, e a seleção obedeceu à estratégia PECOS. Dos 4.144 registros identificados, 199 estudos, publicados entre 1994 e 2026, atenderam aos critérios de inclusão. A produção concentrou-se na Espanha (49 estudos) e no Brasil (21), em atletas de alto rendimento (43,7%) e de categorias de formação (25,1%), com mediana de 63,5 participantes por estudo. Motivação e autoeficácia (80 estudos) e ansiedade e estresse (72) foram os domínios mais investigados, ao passo que burnout e saúde mental reuniram 14 estudos. Desde 2010, a produção duplicou a cada 4,4 anos, e o domínio de sono, bem-estar e recuperação superou o de motivação e autoeficácia. Apenas 28 estudos adotaram delineamento experimental, e 24 testaram intervenções;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(Henriksen et al., 2020; Reardon et al., 2019). A prevalência de sintomas de transtornos mentais em atletas de elite é comparável à da população geral (Gouttebarge et al., 2019; Rice et al., 2016), com diferenças entre homens e mulheres (Kew et al., 2025), e as sociedades científicas da área recomendam a promoção da saúde mental, a detecção precoce e a oferta de serviços especializados aos atletas (Moesch et al., 2018; Purcell et al., 2019; Schinke et al., 2018). A evidência que fundamenta as recomendações do Comitê Olímpico Internacional foi recentemente sistematizada (Gouttebarge et al., 2026), e os fatores psicossociais predizem também a ocorrência de lesões esportivas (Ivarsson et al., 2017). Nos esportes coletivos de invasão, essas variáveis manifestam-se sob a oposição direta do adversário, condição que o handebol leva ao extremo.</w:t>
      </w:r>
    </w:p>
    <w:p>
      <w:pPr>
        <w:spacing w:before="0" w:after="0" w:lineRule="exact" w:line="217"/>
        <w:ind w:left="2381" w:firstLine="425"/>
        <w:jc w:val="both"/>
      </w:pPr>
      <w:r>
        <w:rPr>
          <w:rFonts w:ascii="Palatino Linotype" w:hAnsi="Palatino Linotype"/>
          <w:i w:val="0"/>
          <w:sz w:val="20"/>
        </w:rPr>
        <w:t>Essa condição decorre da própria estrutura do jogo. Disputado por duas equipes de sete jogadores, em quadra de 40 × 20 m e em dois tempos de 30 min, o handebol caracteriza-se como esporte intermitente de alta intensidade, com saltos, arremessos, mudanças de direção e contato físico constante (Karcher &amp; Buchheit, 2014; Michalsik et al., 2012; Póvoas et al., 2012). As ações de alta intensidade repetem-se ao longo das partidas internacionais (Luteberget &amp; Spencer, 2017), e a carga varia conforme as fases da partida, a posição e o sistema defensivo e foi examinada segundo o resultado (Fleureau et al., 2023; Guignard et al., 2022; Saal et al., 2023, 2026; Wagner et al., 2025), inclusive no handebol de praia (Sánchez-Sáez et al., 2021b). As respostas hormonais à partida e ao treino foram comparadas para verificar se o treino reproduz o estresse do jogo (Nikolovski et al., 2023b), e o desempenho feminino depende da combinação de fatores físicos, técnicos e táticos (Manchado et al., 2013). O regulamento intensifica essa exigência: o sétimo jogador de linha expõe a equipe ao gol vazio e reorganiza a defesa adversária (Bonjour et al., 2021; Gümüş &amp; Gençoğlu, 2020; Macedo et al., 2025); a exclusão de dois minutos impõe períodos de inferioridade numérica (Trejo-Silva et al., 2020, 2025); e o tempo técnico modifica a dinâmica do placar em jogos equilibrados (Jetzke &amp; Winter, 2022).</w:t>
      </w:r>
    </w:p>
    <w:p>
      <w:pPr>
        <w:spacing w:before="0" w:after="0" w:lineRule="exact" w:line="217"/>
        <w:ind w:left="2381" w:firstLine="425"/>
        <w:jc w:val="both"/>
      </w:pPr>
      <w:r>
        <w:rPr>
          <w:rFonts w:ascii="Palatino Linotype" w:hAnsi="Palatino Linotype"/>
          <w:i w:val="0"/>
          <w:sz w:val="20"/>
        </w:rPr>
        <w:t>Sob essa pressão, o desempenho depende de exigências cognitivas elevadas. O jogador decide em frações de segundo, com espaço reduzido e marcação próxima; jogadores experientes tendem a escolher as primeiras opções geradas, estratégia eficiente diante da escassez de tempo (Johnson &amp; Raab, 2003; Raab &amp; Johnson, 2007), e a capacidade de decisão diferencia níveis competitivos mesmo quando a aptidão física não o faz (Hinz et al., 2022). A velocidade da mudança de direção foi comparada entre ações planejadas e reativas (Fasold et al., 2023), e a análise situacional constitui elemento central do desempenho de elite (Nicolosi et al., 2023). A atenção, a antecipação (Biscaia et al., 2021), o rastreamento visual de múltiplos alvos (Styrkowiec et al., 2024) e as representações mentais das ações táticas (Vogel &amp; Schack, 2023) variam com o nível, a idade e a expertise. No tiro de sete metros, o goleiro antecipa o arremesso a partir de pistas cinemáticas (Cocić et al., 2021; Huesmann et al., 2023; Loffing &amp; Hagemann, 2014), com padrões de olhar que diferem entre homens e mulheres de elite (Jedziniak et al., 2025), decisões de natureza intuitiva (Menn et al., 2019) e acúmulo de evidência modulado pelo contexto da cobrança (Weinberg et al., 2025). O sono favorece o treino dessa antecipação (Schorer et al., 2021), ao passo que a fadiga mental induzida pelo uso de redes sociais retardou o tempo de reação visual de handebolistas (Kim et al., 2026).</w:t>
      </w:r>
    </w:p>
    <w:p>
      <w:pPr>
        <w:spacing w:before="0" w:after="0" w:lineRule="exact" w:line="217"/>
        <w:ind w:left="2381" w:firstLine="425"/>
        <w:jc w:val="both"/>
      </w:pPr>
      <w:r>
        <w:rPr>
          <w:rFonts w:ascii="Palatino Linotype" w:hAnsi="Palatino Linotype"/>
          <w:i w:val="0"/>
          <w:sz w:val="20"/>
        </w:rPr>
        <w:t>Essas exigências convertem o estado psicológico do atleta em variável de desempenho e de saúde. Em handebolistas, o estresse percebido acompanha a carga de treino e o cortisol (Drole et al., 2025a); a fadiga, a dor e o estresse aumentam ao longo de competições de vários dias (Lara-Cobos et al., 2024); o bem-estar no dia do jogo foi relacionado ao desempenho na partida (Henze et al., 2026); a quantidade e a qualidade do sono de jogadores de nível mundial foram monitoradas ao longo de meia temporada (Font et al., 2025); e as cargas psicossociais e de dupla carreira figuram entre os fatores de risco para lesões e doenças (Drole et al., 2025b). O comportamento do treinador e da equipe associa-se à ansiedade competitiva (Wang et al., 2024), a satisfação das necessidades psicológicas básicas, ao prazer nos treinos (Bugten et al., 2026b), o clima motivacional, ao bem-estar psicológico de adolescentes (Greblo Jurakić et al., 2026), e o medo do fracasso, ao burnout de jovens jogadores (González-Hernández et al., 2021). A ansiedade de nova lesão (Seyedahmadi et al., 2025) e as restrições da pandemia de COVID-19 (Mon-López et al., 2020; Suárez Iglesias et al., 2023) ampliaram esse quadro. No plano aplicado, programas de mindfulness (Martiny et al., 2024; Staiano et al., 2026), de imagética (Norouzi et al., 2025; Upadhyay et al., 2025) e de hipnose adaptada à equipe (Yüksel et al., 2025) relataram efeitos sobre a tomada de decisão, o controle inibitório, a precisão do arremesso e a ansiedade pré-competitiva.</w:t>
      </w:r>
    </w:p>
    <w:p>
      <w:pPr>
        <w:spacing w:before="0" w:after="0" w:lineRule="exact" w:line="217"/>
        <w:ind w:left="2381" w:firstLine="425"/>
        <w:jc w:val="both"/>
      </w:pPr>
      <w:r>
        <w:rPr>
          <w:rFonts w:ascii="Palatino Linotype" w:hAnsi="Palatino Linotype"/>
          <w:i w:val="0"/>
          <w:sz w:val="20"/>
        </w:rPr>
        <w:t>Fora do handebol, as intervenções psicológicas acumulam evidência metanalítica. O autodiálogo (Hatzigeorgiadis et al., 2011), a imagética e a prática mental (Simonsmeier et al., 2021; Toth et al., 2020) e o mindfulness (Bühlmayer et al., 2017; Si et al., 2024) melhoraram o desempenho esportivo; as intervenções baseadas na teoria da autodeterminação aumentaram a motivação autônoma (Ntoumanis et al., 2021); a construção de equipe favoreceu os processos de grupo (Martin et al., 2009); e os programas de conscientização sobre saúde mental foram testados em atletas e treinadores (Breslin et al., 2022). O monitoramento por medidas autorrelatadas mostrou-se mais sensível à carga que muitos marcadores objetivos (Saw et al., 2016), e os consensos sobre recuperação e sono do atleta orientam a prática (Kellmann et al., 2018; Walsh et al., 2021).</w:t>
      </w:r>
    </w:p>
    <w:p>
      <w:pPr>
        <w:spacing w:before="0" w:after="0" w:lineRule="exact" w:line="217"/>
        <w:ind w:left="2381" w:firstLine="425"/>
        <w:jc w:val="both"/>
      </w:pPr>
      <w:r>
        <w:rPr>
          <w:rFonts w:ascii="Palatino Linotype" w:hAnsi="Palatino Linotype"/>
          <w:i w:val="0"/>
          <w:sz w:val="20"/>
        </w:rPr>
        <w:t>Apesar desse acúmulo, o conhecimento sobre o handebol permanece fragmentado. A produção científica sobre a modalidade privilegiou os componentes físicos, técnicos e táticos (Prieto et al., 2015; Saavedra, 2018), e a evidência psicológica distribui-se entre construtos, instrumentos e delineamentos heterogêneos, o que compromete a comparabilidade entre estudos (Flake &amp; Fried, 2020). As metanálises de intervenções psicológicas no esporte relatam efeitos positivos, porém sensíveis ao delineamento e à qualidade dos estudos primários (Brown &amp; Fletcher, 2017; Reinebo et al., 2024), e a síntese quantitativa torna-se prematura quando predominam estudos observacionais e de pequeno porte (Abt et al., 2020; Chalmers &amp; Glasziou, 2009). Para treinadores e psicólogos do esporte, a decisão depende do que foi efetivamente testado (Ely et al., 2021), e não do que foi apenas descrito.</w:t>
      </w:r>
    </w:p>
    <w:p>
      <w:pPr>
        <w:spacing w:before="0" w:after="0" w:lineRule="exact" w:line="217"/>
        <w:ind w:left="2381" w:firstLine="425"/>
        <w:jc w:val="both"/>
      </w:pPr>
      <w:r>
        <w:rPr>
          <w:rFonts w:ascii="Palatino Linotype" w:hAnsi="Palatino Linotype"/>
          <w:i w:val="0"/>
          <w:sz w:val="20"/>
        </w:rPr>
        <w:t>Até o momento, não foram identificadas revisões abrangentes na literatura que reúnam as evidências sobre as variáveis psicológicas investigadas no treinamento e na competição do handebol. Também não foram encontradas revisões que formulem questões específicas sobre o tema, como forma de elucidar o estado da arte sobre o que foi estudado e quais lacunas permanecem, o que pode ser respondido por uma revisão de mapeamento (Arksey &amp; O'Malley, 2005; James et al., 2016; Khalil et al., 2025; Y. Li et al., 2025). Assim, o objetivo do presente estudo foi investigar e analisar o estado da arte das evidências científicas sobre as variáveis psicológicas investigadas no treinamento e na competição do handebol, com ênfase nos estudos de intervenção, por meio de uma revisão de mapeamento.</w:t>
      </w:r>
    </w:p>
    <w:p>
      <w:pPr>
        <w:keepNext/>
        <w:spacing w:before="200" w:after="80" w:lineRule="exact" w:line="300"/>
        <w:ind w:left="2381" w:firstLine="0"/>
        <w:jc w:val="left"/>
      </w:pPr>
      <w:r>
        <w:rPr>
          <w:rFonts w:ascii="Palatino Linotype" w:hAnsi="Palatino Linotype"/>
          <w:b/>
          <w:sz w:val="24"/>
        </w:rPr>
        <w:t>2. Métodos</w:t>
      </w:r>
    </w:p>
    <w:p>
      <w:pPr>
        <w:keepNext/>
        <w:spacing w:before="120" w:after="40" w:lineRule="exact" w:line="217"/>
        <w:ind w:left="2381" w:firstLine="0"/>
        <w:jc w:val="left"/>
      </w:pPr>
      <w:r>
        <w:rPr>
          <w:rFonts w:ascii="Palatino Linotype" w:hAnsi="Palatino Linotype"/>
          <w:i/>
          <w:sz w:val="20"/>
        </w:rPr>
        <w:t>2.1. Diretrizes</w:t>
      </w:r>
    </w:p>
    <w:p>
      <w:pPr>
        <w:spacing w:before="0" w:after="0" w:lineRule="exact" w:line="217"/>
        <w:ind w:left="2381" w:firstLine="425"/>
        <w:jc w:val="both"/>
      </w:pPr>
      <w:r>
        <w:rPr>
          <w:rFonts w:ascii="Palatino Linotype" w:hAnsi="Palatino Linotype"/>
          <w:i w:val="0"/>
          <w:sz w:val="20"/>
        </w:rPr>
        <w:t xml:space="preserve">A revisão de mapeamento foi realizada para analisar o estado da arte das evidências científicas sobre as variáveis psicológicas investigadas no treinamento e na competição do handebol. O trabalho baseou-se nas recomendações para revisões de mapeamento (James et al., 2016; Khalil et al., 2025), com relato conforme os itens aplicáveis do PRISMA-ScR (Tricco et al., 2018). Três filtros, para reunir (procedimento de busca), selecionar (critérios de inclusão e de exclusão) e extrair (extração dos dados) as informações relevantes da literatura, foram aplicados nesta revisão de mapeamento (McDaniel Peters &amp; Wood, 2017), conforme revisões de mapeamento anteriores do grupo (Andrade et al., 2023; Dominski et al., 2021; Truppel et al., 2025).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(EBSE-RG, 2009).</w:t>
      </w:r>
    </w:p>
    <w:p>
      <w:pPr>
        <w:keepNext/>
        <w:spacing w:before="120" w:after="40" w:lineRule="exact" w:line="217"/>
        <w:ind w:left="2381" w:firstLine="0"/>
        <w:jc w:val="left"/>
      </w:pPr>
      <w:r>
        <w:rPr>
          <w:rFonts w:ascii="Palatino Linotype" w:hAnsi="Palatino Linotype"/>
          <w:i/>
          <w:sz w:val="20"/>
        </w:rPr>
        <w:t>2.2. Estratégia de Busca</w:t>
      </w:r>
    </w:p>
    <w:p>
      <w:pPr>
        <w:spacing w:before="0" w:after="0" w:lineRule="exact" w:line="217"/>
        <w:ind w:left="2381" w:firstLine="425"/>
        <w:jc w:val="both"/>
      </w:pPr>
      <w:r>
        <w:rPr>
          <w:rFonts w:ascii="Palatino Linotype" w:hAnsi="Palatino Linotype"/>
          <w:i w:val="0"/>
          <w:sz w:val="20"/>
        </w:rPr>
        <w:t>Realizou-se uma busca abrangente por publicações nas bases eletrônicas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w:t>
      </w:r>
    </w:p>
    <w:p>
      <w:pPr>
        <w:keepNext/>
        <w:spacing w:before="120" w:after="40" w:lineRule="exact" w:line="217"/>
        <w:ind w:left="2381" w:firstLine="0"/>
        <w:jc w:val="left"/>
      </w:pPr>
      <w:r>
        <w:rPr>
          <w:rFonts w:ascii="Palatino Linotype" w:hAnsi="Palatino Linotype"/>
          <w:i/>
          <w:sz w:val="20"/>
        </w:rPr>
        <w:t>2.3. Critérios de Elegibilidade</w:t>
      </w:r>
    </w:p>
    <w:p>
      <w:pPr>
        <w:spacing w:before="0" w:after="0" w:lineRule="exact" w:line="217"/>
        <w:ind w:left="2381" w:firstLine="425"/>
        <w:jc w:val="both"/>
      </w:pPr>
      <w:r>
        <w:rPr>
          <w:rFonts w:ascii="Palatino Linotype" w:hAnsi="Palatino Linotype"/>
          <w:i w:val="0"/>
          <w:sz w:val="20"/>
        </w:rPr>
        <w:t>Foram incluídos na revisão os estudos que atenderam a todos os seguintes critérios: (a) delineamento: ensaios randomizados e não randomizados, estudos de coorte, transversais, qualitativos e mistos; (b) participantes: atletas ou praticantes de handebol, de qualquer sexo, idade ou nível competitivo; (c) exposição: treinamento e/ou competição de handebol; (d) desfecho: ao menos uma variável psicológica dos domínios conceituais; e (e) idioma: inglês, português ou espanhol. Os critérios de elegibilidade desta revisão de mapeamento basearam-se na estratégia PECOS (participantes, exposição, comparação, desfecho e delineamento) (Higgins et al., 2019) e estão descritos na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2.4. Extração e Análise dos Dados</w:t>
      </w:r>
    </w:p>
    <w:p>
      <w:pPr>
        <w:spacing w:before="0" w:after="0" w:lineRule="exact" w:line="217"/>
        <w:ind w:left="2381" w:firstLine="425"/>
        <w:jc w:val="both"/>
      </w:pPr>
      <w:r>
        <w:rPr>
          <w:rFonts w:ascii="Palatino Linotype" w:hAnsi="Palatino Linotype"/>
          <w:i w:val="0"/>
          <w:sz w:val="20"/>
        </w:rPr>
        <w:t>A triagem de títulos e resumos foi realizada em duas passagens independentes, assistidas por modelo de linguagem, e as divergências foram resolvidas por uma terceira avaliação (concordância de 0,955; κ = 0,927) (Cohen, 1960; Landis &amp; Koch, 1977); esse coeficiente expressa a consistência do procedimento, e não a concordância entre avaliadores humanos (McHugh, 2012). Os textos completos dos artigos que atenderam aos critérios de inclusão e de exclusão predeterminados (Tabela 2) foram revisados.</w:t>
      </w:r>
    </w:p>
    <w:p>
      <w:pPr>
        <w:spacing w:before="0" w:after="0" w:lineRule="exact" w:line="217"/>
        <w:ind w:left="2381" w:firstLine="425"/>
        <w:jc w:val="both"/>
      </w:pPr>
      <w:r>
        <w:rPr>
          <w:rFonts w:ascii="Palatino Linotype" w:hAnsi="Palatino Linotype"/>
          <w:i w:val="0"/>
          <w:sz w:val="20"/>
        </w:rPr>
        <w:t>Para a análise e a discussão dos resultados, foram extraídos os seguintes dados: primeiro autor e ano de publicação; país; características da amostra (tamanho, sexo, faixa etária e nível competitivo); contexto da medida (treinamento, competição ou ambos); delineamento; variáveis psicológicas e instrumentos; protocolos das intervenções; e resultados. Todos os resultados foram extraídos para planilhas eletrônicas, provieram do texto completo em 146 estudos, do resumo em 49 e da planilha de extração em 4, e cada um foi vinculado a um trecho literal da fonte.</w:t>
      </w:r>
    </w:p>
    <w:p>
      <w:pPr>
        <w:spacing w:before="0" w:after="0" w:lineRule="exact" w:line="217"/>
        <w:ind w:left="2381" w:firstLine="425"/>
        <w:jc w:val="both"/>
      </w:pPr>
      <w:r>
        <w:rPr>
          <w:rFonts w:ascii="Palatino Linotype" w:hAnsi="Palatino Linotype"/>
          <w:i w:val="0"/>
          <w:sz w:val="20"/>
        </w:rPr>
        <w:t>As variáveis investigadas foram categorizadas em sete domínios conceituais: (1) motivação e autoeficácia (motivação, clima motivacional, orientação de metas, motivação autônoma/intrínseca, autoeficácia, necessidades psicológicas básicas, medo do fracasso, competência percebida, abandono e intenção de persistir, apoio à autonomia); (2) ansiedade e estresse (ansiedade, estresse, autoconfiança, pressão e choking, regulação emocional); (3) sono, bem-estar e recuperação (recuperação percebida, sono, bem-estar, satisfação e qualidade de vida); (4) habilidades mentais e enfrentamento (habilidades psicológicas, atenção e concentração, enfrentamento (coping), resiliência e robustez mental, mindfulness e flow, imagética, fadiga mental, tomada de decisão, funções executivas e cognição, autodiálogo); (5) humor e afeto (estados de humor, afeto e emoções, diversão e prazer); (6) processos de grupo e sociais (relação treinador-atleta, coesão, agressividade e fair play, liderança); (7) burnout e saúde mental (burnout, aspectos psicológicos da lesão, saúde mental e sintomas). Considerando os resultados relatados, os estudos foram categorizados em cinco grupos: efeito ou associação relatado; resultado misto, quando houve efeito ou associação em parte dos desfechos; sem efeito ou associação; descritivo, sem teste estatístico; e não determinável, quando a fonte acessível não permitiu classificar o achado. Os estudos de intervenção foram descritos ainda por seis indicadores de relato e de delineamento: randomização, grupo ou condição de comparação, amostra de pelo menos 30 participantes, medida de desfecho psicológico, duração informada e tamanho do efeito relatado.</w:t>
      </w:r>
    </w:p>
    <w:p>
      <w:pPr>
        <w:spacing w:before="0" w:after="0" w:lineRule="exact" w:line="217"/>
        <w:ind w:left="2381" w:firstLine="425"/>
        <w:jc w:val="both"/>
      </w:pPr>
      <w:r>
        <w:rPr>
          <w:rFonts w:ascii="Palatino Linotype" w:hAnsi="Palatino Linotype"/>
          <w:i w:val="0"/>
          <w:sz w:val="20"/>
        </w:rPr>
        <w:t>Os dados foram analisados por estatística descritiva (frequências absolutas e relativas, mediana e amplitude) e apresentados em figuras e tabelas. O tamanho amostral foi comparado entre categorias pelo teste de Kruskal-Wallis; a combinação das variáveis nos estudos foi descrita pela coocorrência dos domínios e pelo mapa temático (Blondel et al., 2008; Callon et al., 1991); e a trajetória temporal da produção foi descrita por média móvel centrada, com intervalos de confiança de 95% (Garwood, 1936; Wilson, 1927).</w:t>
      </w:r>
    </w:p>
    <w:p>
      <w:pPr>
        <w:spacing w:before="0" w:after="0" w:lineRule="exact" w:line="217"/>
        <w:ind w:left="2381" w:firstLine="425"/>
        <w:jc w:val="both"/>
      </w:pPr>
      <w:r>
        <w:rPr>
          <w:rFonts w:ascii="Palatino Linotype" w:hAnsi="Palatino Linotype"/>
          <w:i w:val="0"/>
          <w:sz w:val="20"/>
        </w:rPr>
        <w:t>Com base em Fernández-Sotos et al. (2019), um aspecto metodológico fundamental para o êxito de uma revisão de mapeamento é a definição das questões de pesquisa (QP) a serem respondidas. Para esta revisão de mapeamento, foram definidas cinco QP:</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keepNext/>
        <w:spacing w:before="200" w:after="80" w:lineRule="exact" w:line="300"/>
        <w:ind w:left="2381" w:firstLine="0"/>
        <w:jc w:val="left"/>
      </w:pPr>
      <w:r>
        <w:rPr>
          <w:rFonts w:ascii="Palatino Linotype" w:hAnsi="Palatino Linotype"/>
          <w:b/>
          <w:sz w:val="24"/>
        </w:rPr>
        <w:t>3. Resultados</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i w:val="0"/>
          <w:sz w:val="20"/>
        </w:rPr>
        <w:t>A busca na literatura identificou 4.144 registros relevantes. Destes, 249 artigos completos foram avaliados quanto à elegibilidade, 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2020 da busca na literatura e do processo de seleção dos estudos. Buscas realizadas entre maio e setembro de 2026.</w:t>
      </w:r>
    </w:p>
    <w:p>
      <w:pPr>
        <w:spacing w:before="0" w:after="0" w:lineRule="exact" w:line="217"/>
        <w:ind w:left="2381" w:firstLine="425"/>
        <w:jc w:val="both"/>
      </w:pPr>
      <w:r>
        <w:rPr>
          <w:rFonts w:ascii="Palatino Linotype" w:hAnsi="Palatino Linotype"/>
          <w:i w:val="0"/>
          <w:sz w:val="20"/>
        </w:rPr>
        <w:t>O estudo mais antigo foi publicado em 1994 por Junior et al. (1994). Desde então, 199 estudos investigaram o tema até 2026 (ver Apêndice A para a lista completa dos estudos selecionados). O ano com o maior número de estudos foi 2025, com 25 estudos, seguido de 2022 e 2026, com 18 estudos cada; 115 estudos (57,8%) datam de 2020 em diante (Figura 2A).</w:t>
      </w:r>
    </w:p>
    <w:p>
      <w:pPr>
        <w:spacing w:before="0" w:after="0" w:lineRule="exact" w:line="217"/>
        <w:ind w:left="2381" w:firstLine="425"/>
        <w:jc w:val="both"/>
      </w:pPr>
      <w:r>
        <w:rPr>
          <w:rFonts w:ascii="Palatino Linotype" w:hAnsi="Palatino Linotype"/>
          <w:i w:val="0"/>
          <w:sz w:val="20"/>
        </w:rPr>
        <w:t>Quanto ao sexo, 54 estudos investigaram amostras mistas, 49 somente mulheres e 39 somente homens, e 57 não relataram essa informação (Figura 2B). Predominaram as faixas adulta (90 estudos) e juvenil (89) e os níveis profissional ou de elite (87; 43,7%) e de formação (50; 25,1%) (Figura 2C, D).</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Características dos estudos e das populações (QP1).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i w:val="0"/>
          <w:sz w:val="20"/>
        </w:rPr>
        <w:t>Os estudos incluíram um total de 23.525 participantes, e 13 não relataram o número de participantes. O estudo com a maior amostra foi o de Asai et al. (2023), com 745 participantes, e o de menor amostra, o de Kristiansen e Stensrud (2017), com 6. A mediana foi de 63,5 participantes por estudo, com as maiores amostras nos estudos transversais (mediana de 112) e as menores nos experimentais (mediana de 26,5) (Figura 3).</w:t>
      </w:r>
    </w:p>
    <w:p>
      <w:pPr>
        <w:keepNext/>
        <w:spacing w:before="120" w:after="40" w:lineRule="auto" w:line="240"/>
        <w:ind w:left="0" w:firstLine="0"/>
        <w:jc w:val="center"/>
      </w:pPr>
      <w:r>
        <w:drawing>
          <wp:inline xmlns:a="http://schemas.openxmlformats.org/drawingml/2006/main" xmlns:pic="http://schemas.openxmlformats.org/drawingml/2006/picture">
            <wp:extent cx="5400000" cy="1748571"/>
            <wp:docPr id="3" name="Picture 3"/>
            <wp:cNvGraphicFramePr>
              <a:graphicFrameLocks noChangeAspect="1"/>
            </wp:cNvGraphicFramePr>
            <a:graphic>
              <a:graphicData uri="http://schemas.openxmlformats.org/drawingml/2006/picture">
                <pic:pic>
                  <pic:nvPicPr>
                    <pic:cNvPr id="0" name="ijerph_amostras.png"/>
                    <pic:cNvPicPr/>
                  </pic:nvPicPr>
                  <pic:blipFill>
                    <a:blip r:embed="rId12"/>
                    <a:stretch>
                      <a:fillRect/>
                    </a:stretch>
                  </pic:blipFill>
                  <pic:spPr>
                    <a:xfrm>
                      <a:off x="0" y="0"/>
                      <a:ext cx="5400000" cy="1748571"/>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Distribuição do tamanho amostral dos estudos (escala logarítmica) segundo o delineamento, o sexo da amostra e o nível competitivo. Violino: densidade; caixa: intervalo interquartil, com a mediana (Md); pontos: estudos com tamanho amostral relatado; (A) delineamento; (B) sexo da amostra; (C) nível competitivo.</w:t>
      </w:r>
    </w:p>
    <w:p>
      <w:pPr>
        <w:spacing w:before="0" w:after="0" w:lineRule="exact" w:line="217"/>
        <w:ind w:left="2381" w:firstLine="425"/>
        <w:jc w:val="both"/>
      </w:pPr>
      <w:r>
        <w:rPr>
          <w:rFonts w:ascii="Palatino Linotype" w:hAnsi="Palatino Linotype"/>
          <w:i w:val="0"/>
          <w:sz w:val="20"/>
        </w:rPr>
        <w:t>Os países em que o tema foi pesquisado foram a Espanha, com 49 estudos, seguida do Brasil (21), da Alemanha (15), da França (12) e de Portugal (10); 51 países somaram 221 menções, e 23 estudos (11,6%) envolveram mais de um país (Figura 4).</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4" name="Picture 4"/>
            <wp:cNvGraphicFramePr>
              <a:graphicFrameLocks noChangeAspect="1"/>
            </wp:cNvGraphicFramePr>
            <a:graphic>
              <a:graphicData uri="http://schemas.openxmlformats.org/drawingml/2006/picture">
                <pic:pic>
                  <pic:nvPicPr>
                    <pic:cNvPr id="0" name="Figura_Mapa_v5.png"/>
                    <pic:cNvPicPr/>
                  </pic:nvPicPr>
                  <pic:blipFill>
                    <a:blip r:embed="rId13"/>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Distribuição geográfica global das pesquisas sobre as variáveis psicológicas no treinamento e na competição do handebol.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Dos 199 estudos incluídos, 87 foram observacionais sem desenho especificado, 51 transversais e 25 de coorte ou longitudinais; 15 foram quase-experimentais, 10 ensaios clínicos randomizados e 3 cruzados, e os demais, qualitativos (3), mistos (1), estudo de caso (1), validação (1) ou sem informação (2).</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foram os domínios mais investigados, seguidos de sono, bem-estar e recuperação (52), habilidades mentais e enfrentamento (45), humor e afeto (36), processos de grupo e sociais (17) e burnout e saúde mental (14) (Figura 6A). A combinação das variáveis nos estudos organizou-se em cinco temas (Figura 5): carga, recuperação e bem-estar (109 estudos); motivação e clima motivacional (67); ansiedade, autoconfiança e equipe (47); habilidades psicológicas e resiliência (29); e competência percebida e diversão (11).</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5" name="Picture 5"/>
            <wp:cNvGraphicFramePr>
              <a:graphicFrameLocks noChangeAspect="1"/>
            </wp:cNvGraphicFramePr>
            <a:graphic>
              <a:graphicData uri="http://schemas.openxmlformats.org/drawingml/2006/picture">
                <pic:pic>
                  <pic:nvPicPr>
                    <pic:cNvPr id="0" name="Figura_MapaTematico.png"/>
                    <pic:cNvPicPr/>
                  </pic:nvPicPr>
                  <pic:blipFill>
                    <a:blip r:embed="rId14"/>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Mapa temático das variáveis psicológicas investigadas no treinamento e na competição do handebol (QP2). Pentágonos: os cinco temas, com o número de estudos; círculos: variáveis de cada tema, com tamanho proporcional ao número de estudos; setas: tendência temporal; quadros vermelhos: principais lacunas.</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Apenas 48 estudos (24,1%) nomearam o instrumento no resumo, com predomínio do CSAI-2 (14 estudos), do POMS (10) e do índice de Hooper (7) (Figura 6B).</w:t>
      </w: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6" name="Picture 6"/>
            <wp:cNvGraphicFramePr>
              <a:graphicFrameLocks noChangeAspect="1"/>
            </wp:cNvGraphicFramePr>
            <a:graphic>
              <a:graphicData uri="http://schemas.openxmlformats.org/drawingml/2006/picture">
                <pic:pic>
                  <pic:nvPicPr>
                    <pic:cNvPr id="0" name="v5_qp2.png"/>
                    <pic:cNvPicPr/>
                  </pic:nvPicPr>
                  <pic:blipFill>
                    <a:blip r:embed="rId15"/>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Metade dos estudos (50,8%) investigou um único domínio. O par de domínios mais frequente foi ansiedade e estresse com habilidades mentais e enfrentamento (20 estudos), seguido de motivação com habilidades mentais (15) e de motivação com ansiedade (14). Processos de grupo e burnout foram investigados quase sempre com a motivação, e sono, bem-estar e recuperação foi o domínio mais estudado isoladamente (Figura 7).</w:t>
      </w:r>
    </w:p>
    <w:p>
      <w:pPr>
        <w:keepNext/>
        <w:spacing w:before="120" w:after="40" w:lineRule="auto" w:line="240"/>
        <w:ind w:left="2381" w:firstLine="0"/>
        <w:jc w:val="center"/>
      </w:pPr>
      <w:r>
        <w:drawing>
          <wp:inline xmlns:a="http://schemas.openxmlformats.org/drawingml/2006/main" xmlns:pic="http://schemas.openxmlformats.org/drawingml/2006/picture">
            <wp:extent cx="4500000" cy="3912750"/>
            <wp:docPr id="7" name="Picture 7"/>
            <wp:cNvGraphicFramePr>
              <a:graphicFrameLocks noChangeAspect="1"/>
            </wp:cNvGraphicFramePr>
            <a:graphic>
              <a:graphicData uri="http://schemas.openxmlformats.org/drawingml/2006/picture">
                <pic:pic>
                  <pic:nvPicPr>
                    <pic:cNvPr id="0" name="ijerph_coocorrencia.png"/>
                    <pic:cNvPicPr/>
                  </pic:nvPicPr>
                  <pic:blipFill>
                    <a:blip r:embed="rId16"/>
                    <a:stretch>
                      <a:fillRect/>
                    </a:stretch>
                  </pic:blipFill>
                  <pic:spPr>
                    <a:xfrm>
                      <a:off x="0" y="0"/>
                      <a:ext cx="4500000" cy="391275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Coocorrência dos domínios conceituais nos 199 estudos. Diagonal: número de estudos de cada domínio; demais células: número de estudos que investigaram os dois domínios e, entre parênteses, a razão entre a coocorrência observada e a esperada (lift); vermelho: acima do esperado; azul: abaixo do esperado.</w:t>
      </w:r>
    </w:p>
    <w:p>
      <w:pPr>
        <w:spacing w:before="0" w:after="0" w:lineRule="exact" w:line="217"/>
        <w:ind w:left="2381" w:firstLine="425"/>
        <w:jc w:val="both"/>
      </w:pPr>
      <w:r>
        <w:rPr>
          <w:rFonts w:ascii="Palatino Linotype" w:hAnsi="Palatino Linotype"/>
          <w:i w:val="0"/>
          <w:sz w:val="20"/>
        </w:rPr>
        <w:t>A Tabela 3 apresenta o número de estudos segundo o domínio conceitual, o contexto da medida, o nível competitivo e o delineamento. O nível profissional ou de elite predominou em todos os domínios, e os estudos experimentais não ultrapassaram 10 em nenhum domínio.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65 estudos (32,7%), em ambos os contextos em 67 (33,7%) e somente no treinamento em 41 (20,6%), e 26 estudos não relataram o contexto. Na competição, predominaram ansiedade e estresse (33 estudos) e motivação e autoeficácia (29); no treinamento, motivação e autoeficácia (19), habilidades mentais (14) e sono, bem-estar e recuperação (12) (Figura 8).</w:t>
      </w:r>
    </w:p>
    <w:p>
      <w:pPr>
        <w:keepNext/>
        <w:spacing w:before="120" w:after="40" w:lineRule="auto" w:line="240"/>
        <w:ind w:left="2381" w:firstLine="0"/>
        <w:jc w:val="center"/>
      </w:pPr>
      <w:r>
        <w:drawing>
          <wp:inline xmlns:a="http://schemas.openxmlformats.org/drawingml/2006/main" xmlns:pic="http://schemas.openxmlformats.org/drawingml/2006/picture">
            <wp:extent cx="4896000" cy="3776040"/>
            <wp:docPr id="8" name="Picture 8"/>
            <wp:cNvGraphicFramePr>
              <a:graphicFrameLocks noChangeAspect="1"/>
            </wp:cNvGraphicFramePr>
            <a:graphic>
              <a:graphicData uri="http://schemas.openxmlformats.org/drawingml/2006/picture">
                <pic:pic>
                  <pic:nvPicPr>
                    <pic:cNvPr id="0" name="Figura4_QP3.png"/>
                    <pic:cNvPicPr/>
                  </pic:nvPicPr>
                  <pic:blipFill>
                    <a:blip r:embed="rId17"/>
                    <a:stretch>
                      <a:fillRect/>
                    </a:stretch>
                  </pic:blipFill>
                  <pic:spPr>
                    <a:xfrm>
                      <a:off x="0" y="0"/>
                      <a:ext cx="4896000" cy="37760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Contextos da medida, países com mais estudos e domínios conceituais nos estudos de treinamento e de competição (QP3). (A) contexto da medida, com o percentual sobre os 199 estudos; (B) produção acumulada dos países com mais estudos, 2000 a 2026; (C) número de estudos de cada domínio conceitual nos estudos de treinamento e de competição.</w:t>
      </w:r>
    </w:p>
    <w:p>
      <w:pPr>
        <w:spacing w:before="0" w:after="0" w:lineRule="exact" w:line="217"/>
        <w:ind w:left="2381" w:firstLine="425"/>
        <w:jc w:val="both"/>
      </w:pPr>
      <w:r>
        <w:rPr>
          <w:rFonts w:ascii="Palatino Linotype" w:hAnsi="Palatino Linotype"/>
          <w:i w:val="0"/>
          <w:sz w:val="20"/>
        </w:rPr>
        <w:t>Considerados os 173 estudos com contexto relatado, a ansiedade e o estresse e os processos de grupo concentraram-se na competição (lift de 1,33 e 1,50), ao passo que as habilidades mentais predominaram no treinamento (1,44) e o humor e o afeto e o sono, o bem-estar e a recuperação, na medida em ambos os contextos (1,50 e 1,29). Em contraste, ansiedade e estresse foi pouco investigada somente no treinamento (lift de 0,32), e humor e afeto, somente na competição (0,34) (Figura 9).</w:t>
      </w:r>
    </w:p>
    <w:p>
      <w:pPr>
        <w:keepNext/>
        <w:spacing w:before="120" w:after="40" w:lineRule="auto" w:line="240"/>
        <w:ind w:left="0" w:firstLine="0"/>
        <w:jc w:val="center"/>
      </w:pPr>
      <w:r>
        <w:drawing>
          <wp:inline xmlns:a="http://schemas.openxmlformats.org/drawingml/2006/main" xmlns:pic="http://schemas.openxmlformats.org/drawingml/2006/picture">
            <wp:extent cx="5400000" cy="2731765"/>
            <wp:docPr id="9" name="Picture 9"/>
            <wp:cNvGraphicFramePr>
              <a:graphicFrameLocks noChangeAspect="1"/>
            </wp:cNvGraphicFramePr>
            <a:graphic>
              <a:graphicData uri="http://schemas.openxmlformats.org/drawingml/2006/picture">
                <pic:pic>
                  <pic:nvPicPr>
                    <pic:cNvPr id="0" name="ijerph_contexto_lift.png"/>
                    <pic:cNvPicPr/>
                  </pic:nvPicPr>
                  <pic:blipFill>
                    <a:blip r:embed="rId18"/>
                    <a:stretch>
                      <a:fillRect/>
                    </a:stretch>
                  </pic:blipFill>
                  <pic:spPr>
                    <a:xfrm>
                      <a:off x="0" y="0"/>
                      <a:ext cx="5400000" cy="273176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Concentração dos domínios conceituais nos contextos de treinamento e de competição (QP3). (A) esferas: número de estudos de cada domínio em cada contexto; cor e valor (×): lift, isto é, a proporção observada dividida pela esperada sob independência entre domínio e contexto (vermelho: acima do esperado; azul: abaixo); (B) distribuição percentual dos contextos em cada domínio, com a distribuição geral dos estudos indicada pelas linhas tracejadas; estudos sem contexto relatado excluídos.</w:t>
      </w:r>
    </w:p>
    <w:p>
      <w:pPr>
        <w:spacing w:before="0" w:after="0" w:lineRule="exact" w:line="217"/>
        <w:ind w:left="2381" w:firstLine="425"/>
        <w:jc w:val="both"/>
      </w:pPr>
      <w:r>
        <w:rPr>
          <w:rFonts w:ascii="Palatino Linotype" w:hAnsi="Palatino Linotype"/>
          <w:i w:val="0"/>
          <w:sz w:val="20"/>
        </w:rPr>
        <w:t>O período de maior crescimento ocorreu a partir de 2016.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10).</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10" name="Picture 10"/>
            <wp:cNvGraphicFramePr>
              <a:graphicFrameLocks noChangeAspect="1"/>
            </wp:cNvGraphicFramePr>
            <a:graphic>
              <a:graphicData uri="http://schemas.openxmlformats.org/drawingml/2006/picture">
                <pic:pic>
                  <pic:nvPicPr>
                    <pic:cNvPr id="0" name="Figura_IC_tendencias.png"/>
                    <pic:cNvPicPr/>
                  </pic:nvPicPr>
                  <pic:blipFill>
                    <a:blip r:embed="rId19"/>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10.</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e intervalo de confiança de Wilson; pontos: participação anual bruta; trecho pontilhado: 2026, ano em curso.</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i w:val="0"/>
          <w:sz w:val="20"/>
        </w:rPr>
        <w:t>Dos 199 estudos, 28 (14,1%) adotaram delineamento experimental e 24 (12,1%) testaram uma intervenção (Figura 11A).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11" name="Picture 11"/>
            <wp:cNvGraphicFramePr>
              <a:graphicFrameLocks noChangeAspect="1"/>
            </wp:cNvGraphicFramePr>
            <a:graphic>
              <a:graphicData uri="http://schemas.openxmlformats.org/drawingml/2006/picture">
                <pic:pic>
                  <pic:nvPicPr>
                    <pic:cNvPr id="0" name="Figura6_QP4_QP5.png"/>
                    <pic:cNvPicPr/>
                  </pic:nvPicPr>
                  <pic:blipFill>
                    <a:blip r:embed="rId20"/>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11.</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realizaram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A descrição completa dos protocolos das intervenções com efeito relatado e das demais pode ser vista nas Tabelas 4 e 5.</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 total ou parcial.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Saket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Motivação intrínseca</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Relaxamento e imagética (8 semanas); 8 sem.</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QE; treino regular</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Staiano et al. (2026)</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79;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Demanda mental; frustração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39)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Lepir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Bósnia e Herzegov…</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geral e pré-competitiva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Neurofeedback;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Malfa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 México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63;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Apoio à autonomia; motivação autônoma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Ensino com apoio à autonomia;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Norouzi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imagética;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Upadhyay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Índia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40;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Benešová &amp; Drozdová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Tchéquia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31;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do movimento;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Martiny et al.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mental; flow; tomada de decisão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52)</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García-Herrero et al.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sem feedback</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Metan &amp; Küçük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Turquia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38;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Autoeficácia; precisão do arremesso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três grupos</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Soto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39;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Afeto positivo; competência;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feedback positivo × negativo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Hornstrup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inativo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Paul Meeûs et al. (2010)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Bélgica; MD; Port…</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112;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63)</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Martínez et al. (1998)</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ausência de efeito ou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Martins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Portugal</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Amador ou recreativo; master</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22; misto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Diversão</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Handebol caminhado e recreativo (idosos); duração n.r.</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ECR; caminhada (intraindividual)</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Nuell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9;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Recuperação percebida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Compressão pneumática (5 semanas);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Bougrine et al. (2023)</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Cafeína durante o ramadã;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fases (cruzado)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Sánchez-Sáez et al. (2021a)</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percebida; diversão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sem controle (só pós-teste)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Nishida et al.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Japão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Universitário;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sonolência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condição sem cochilo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Tomar e Allen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Arábia Saudita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24;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L'Hermette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França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Sensações emocionais e de regeneração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Cruzado; cruzado (autocontrole)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Hasan et al. (2019)</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Iraque</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grupo de comparação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Carvalho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25;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Estados de humor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placebo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Khazdozi et al. (2017)</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Nulo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24; feminino</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Humor; motivação para o treino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 Figura 12 analisa as intervenções. O número acumulado cresceu sobretudo a partir de 2018, com predomínio do treino de habilidades psicológicas desde 2024. As intervenções com efeito relatado tiveram amostras maiores (mediana de 39) que as demais (mediana de 22; U = 108,0; p = 0,001; r = 0,85). A proporção de intervenções com efeito foi de 14 em 24 (IC 95%: 39% a 76%), maior no treino de habilidades psicológicas (9 de 10; IC 95%: 60% a 98%) e no feedback do treinador (4 de 4; IC 95%: 51% a 100%), com intervalos amplos em todos os tipos.</w:t>
      </w:r>
    </w:p>
    <w:p>
      <w:pPr>
        <w:keepNext/>
        <w:spacing w:before="120" w:after="40" w:lineRule="auto" w:line="240"/>
        <w:ind w:left="0" w:firstLine="0"/>
        <w:jc w:val="center"/>
      </w:pPr>
      <w:r>
        <w:drawing>
          <wp:inline xmlns:a="http://schemas.openxmlformats.org/drawingml/2006/main" xmlns:pic="http://schemas.openxmlformats.org/drawingml/2006/picture">
            <wp:extent cx="5400000" cy="3450000"/>
            <wp:docPr id="12" name="Picture 12"/>
            <wp:cNvGraphicFramePr>
              <a:graphicFrameLocks noChangeAspect="1"/>
            </wp:cNvGraphicFramePr>
            <a:graphic>
              <a:graphicData uri="http://schemas.openxmlformats.org/drawingml/2006/picture">
                <pic:pic>
                  <pic:nvPicPr>
                    <pic:cNvPr id="0" name="ijerph_intervencoes_analise.png"/>
                    <pic:cNvPicPr/>
                  </pic:nvPicPr>
                  <pic:blipFill>
                    <a:blip r:embed="rId21"/>
                    <a:stretch>
                      <a:fillRect/>
                    </a:stretch>
                  </pic:blipFill>
                  <pic:spPr>
                    <a:xfrm>
                      <a:off x="0" y="0"/>
                      <a:ext cx="5400000" cy="345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12.</w:t>
      </w:r>
      <w:r>
        <w:rPr>
          <w:rFonts w:ascii="Palatino Linotype" w:hAnsi="Palatino Linotype"/>
          <w:i w:val="0"/>
          <w:sz w:val="18"/>
        </w:rPr>
        <w:t xml:space="preserve"> Análise dos estudos de intervenção: crescimento, tamanho amostral e proporção com efeito (QP4 e QP5). (A) número acumulado de intervenções por tipo; (B) número de participantes das intervenções com e sem efeito relatado, com violino, caixa (mediana e intervalo interquartil) e teste de Mann-Whitney (r: correlação bisserial de postos); (C) proporção de intervenções com efeito por tipo, com intervalo de confiança de 95% de Wilson; faixa cinza e linha tracejada: proporção no conjunto; ECR: ensaio clínico randomizado.</w:t>
      </w:r>
    </w:p>
    <w:p>
      <w:pPr>
        <w:spacing w:before="0" w:after="0" w:lineRule="exact" w:line="217"/>
        <w:ind w:left="2381" w:firstLine="425"/>
        <w:jc w:val="both"/>
      </w:pPr>
      <w:r>
        <w:rPr>
          <w:rFonts w:ascii="Palatino Linotype" w:hAnsi="Palatino Linotype"/>
          <w:i w:val="0"/>
          <w:sz w:val="20"/>
        </w:rPr>
        <w:t>Quanto ao relato e ao delineamento, o grupo ou a condição de comparação esteve presente em 21 das 24 intervenções e o desfecho psicológico foi medido em 20, mas a randomização ocorreu em 10, a amostra alcançou 30 participantes em 12, a duração foi informada em 14 e o tamanho do efeito foi relatado em apenas 3 (Figura 13A). A mediana foi de 4 indicadores atendidos por estudo, sem tendência significativa ao longo do tempo (ρ = 0,24; p = 0,253) (Figura 13B).</w:t>
      </w:r>
    </w:p>
    <w:p>
      <w:pPr>
        <w:keepNext/>
        <w:spacing w:before="120" w:after="40" w:lineRule="auto" w:line="240"/>
        <w:ind w:left="0" w:firstLine="0"/>
        <w:jc w:val="center"/>
      </w:pPr>
      <w:r>
        <w:drawing>
          <wp:inline xmlns:a="http://schemas.openxmlformats.org/drawingml/2006/main" xmlns:pic="http://schemas.openxmlformats.org/drawingml/2006/picture">
            <wp:extent cx="5400000" cy="2460000"/>
            <wp:docPr id="13" name="Picture 13"/>
            <wp:cNvGraphicFramePr>
              <a:graphicFrameLocks noChangeAspect="1"/>
            </wp:cNvGraphicFramePr>
            <a:graphic>
              <a:graphicData uri="http://schemas.openxmlformats.org/drawingml/2006/picture">
                <pic:pic>
                  <pic:nvPicPr>
                    <pic:cNvPr id="0" name="ijerph_indicadores_analise.png"/>
                    <pic:cNvPicPr/>
                  </pic:nvPicPr>
                  <pic:blipFill>
                    <a:blip r:embed="rId22"/>
                    <a:stretch>
                      <a:fillRect/>
                    </a:stretch>
                  </pic:blipFill>
                  <pic:spPr>
                    <a:xfrm>
                      <a:off x="0" y="0"/>
                      <a:ext cx="5400000" cy="246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13.</w:t>
      </w:r>
      <w:r>
        <w:rPr>
          <w:rFonts w:ascii="Palatino Linotype" w:hAnsi="Palatino Linotype"/>
          <w:i w:val="0"/>
          <w:sz w:val="18"/>
        </w:rPr>
        <w:t xml:space="preserve"> Indicadores de relato e de delineamento dos estudos de intervenção (QP4). (A) proporção de estudos que atendem a cada indicador, com o número de estudos no ponto, intervalo de confiança de 95% de Wilson e número de estudos sem informação (n.i.); (B) indicadores atendidos por estudo segundo o ano de publicação, com reta de regressão e intervalo de confiança de 95% por bootstrap; área do ponto proporcional ao número de participantes.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Motivação e autoeficácia (70%) e burnout e saúde mental (71%) reuniram as maiores proporções de estudos com efeito ou associação, e humor e afeto (31%) e ansiedade e estresse (28%), as maiores proporções de resultados mistos (Figuras 14 e 15).</w:t>
      </w:r>
    </w:p>
    <w:p>
      <w:pPr>
        <w:keepNext/>
        <w:spacing w:before="120" w:after="40" w:lineRule="auto" w:line="240"/>
        <w:ind w:left="0" w:firstLine="0"/>
        <w:jc w:val="center"/>
      </w:pPr>
      <w:r>
        <w:drawing>
          <wp:inline xmlns:a="http://schemas.openxmlformats.org/drawingml/2006/main" xmlns:pic="http://schemas.openxmlformats.org/drawingml/2006/picture">
            <wp:extent cx="5220000" cy="2349000"/>
            <wp:docPr id="14" name="Picture 14"/>
            <wp:cNvGraphicFramePr>
              <a:graphicFrameLocks noChangeAspect="1"/>
            </wp:cNvGraphicFramePr>
            <a:graphic>
              <a:graphicData uri="http://schemas.openxmlformats.org/drawingml/2006/picture">
                <pic:pic>
                  <pic:nvPicPr>
                    <pic:cNvPr id="0" name="ijerph_direcao_pizza3d.png"/>
                    <pic:cNvPicPr/>
                  </pic:nvPicPr>
                  <pic:blipFill>
                    <a:blip r:embed="rId23"/>
                    <a:stretch>
                      <a:fillRect/>
                    </a:stretch>
                  </pic:blipFill>
                  <pic:spPr>
                    <a:xfrm>
                      <a:off x="0" y="0"/>
                      <a:ext cx="5220000" cy="2349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14.</w:t>
      </w:r>
      <w:r>
        <w:rPr>
          <w:rFonts w:ascii="Palatino Linotype" w:hAnsi="Palatino Linotype"/>
          <w:i w:val="0"/>
          <w:sz w:val="18"/>
        </w:rPr>
        <w:t xml:space="preserve"> Direção dos achados nos 199 estudos e nas intervenções. (A) os 199 estudos; (B) os estudos de intervenção; efeito parcial (misto): efeito em parte dos desfechos.</w:t>
      </w:r>
    </w:p>
    <w:p>
      <w:pPr>
        <w:keepNext/>
        <w:spacing w:before="120" w:after="40" w:lineRule="auto" w:line="240"/>
        <w:ind w:left="0" w:firstLine="0"/>
        <w:jc w:val="center"/>
      </w:pPr>
      <w:r>
        <w:drawing>
          <wp:inline xmlns:a="http://schemas.openxmlformats.org/drawingml/2006/main" xmlns:pic="http://schemas.openxmlformats.org/drawingml/2006/picture">
            <wp:extent cx="5400000" cy="2565000"/>
            <wp:docPr id="15" name="Picture 15"/>
            <wp:cNvGraphicFramePr>
              <a:graphicFrameLocks noChangeAspect="1"/>
            </wp:cNvGraphicFramePr>
            <a:graphic>
              <a:graphicData uri="http://schemas.openxmlformats.org/drawingml/2006/picture">
                <pic:pic>
                  <pic:nvPicPr>
                    <pic:cNvPr id="0" name="ijerph_dominio_direcao.png"/>
                    <pic:cNvPicPr/>
                  </pic:nvPicPr>
                  <pic:blipFill>
                    <a:blip r:embed="rId24"/>
                    <a:stretch>
                      <a:fillRect/>
                    </a:stretch>
                  </pic:blipFill>
                  <pic:spPr>
                    <a:xfrm>
                      <a:off x="0" y="0"/>
                      <a:ext cx="5400000" cy="2565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15.</w:t>
      </w:r>
      <w:r>
        <w:rPr>
          <w:rFonts w:ascii="Palatino Linotype" w:hAnsi="Palatino Linotype"/>
          <w:i w:val="0"/>
          <w:sz w:val="18"/>
        </w:rPr>
        <w:t xml:space="preserve"> Comparação dos domínios conceituais investigados e da frequência da direção dos achados. (A) número de estudos, com o total à direita; (B) proporção dos estudos de cada domínio; um estudo pode investigar mais de um domínio.</w:t>
      </w:r>
    </w:p>
    <w:p>
      <w:pPr>
        <w:spacing w:before="0" w:after="0" w:lineRule="exact" w:line="217"/>
        <w:ind w:left="2381" w:firstLine="425"/>
        <w:jc w:val="both"/>
      </w:pPr>
      <w:r>
        <w:rPr>
          <w:rFonts w:ascii="Palatino Linotype" w:hAnsi="Palatino Linotype"/>
          <w:i w:val="0"/>
          <w:sz w:val="20"/>
        </w:rPr>
        <w:t>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Quatro das dez intervenções de treino psicológico avaliaram apenas o desempenho técnico. Quanto às lacunas, 22 das 42 combinações entre intervenção e desfecho (52%) não apresentaram estudos (Figura 11B), e burnout e saúde mental não tiveram nenhuma intervenção (Figura 11C).</w:t>
      </w:r>
    </w:p>
    <w:p>
      <w:pPr>
        <w:keepNext/>
        <w:spacing w:before="200" w:after="80" w:lineRule="exact" w:line="300"/>
        <w:ind w:left="2381" w:firstLine="0"/>
        <w:jc w:val="left"/>
      </w:pPr>
      <w:r>
        <w:rPr>
          <w:rFonts w:ascii="Palatino Linotype" w:hAnsi="Palatino Linotype"/>
          <w:b/>
          <w:sz w:val="24"/>
        </w:rPr>
        <w:t>4. Discussão</w:t>
      </w:r>
    </w:p>
    <w:p>
      <w:pPr>
        <w:spacing w:before="0" w:after="0" w:lineRule="exact" w:line="217"/>
        <w:ind w:left="2381" w:firstLine="425"/>
        <w:jc w:val="both"/>
      </w:pPr>
      <w:r>
        <w:rPr>
          <w:rFonts w:ascii="Palatino Linotype" w:hAnsi="Palatino Linotype"/>
          <w:i w:val="0"/>
          <w:sz w:val="20"/>
        </w:rPr>
        <w:t>O objetivo desta revisão de mapeamento foi investigar e analisar as evidências científicas sobre as variáveis psicológicas investigadas no treinamento e na competição do handebol. Até onde se tem conhecimento, esta é a primeira revisão a reunir as evidências publicadas sobre o tema como forma de reunir o estado da arte. Cento e noventa e nove estudos foram selecionados; os resultados foram sintetizados e, com base neles, as questões levantadas na presente revisão de mapeamento foram respondidas. A seguir, os resultados são discutidos por tópicos, de acordo com as questões abordadas.</w:t>
      </w:r>
    </w:p>
    <w:p>
      <w:pPr>
        <w:keepNext/>
        <w:spacing w:before="120" w:after="40" w:lineRule="exact" w:line="217"/>
        <w:ind w:left="2381" w:firstLine="0"/>
        <w:jc w:val="left"/>
      </w:pPr>
      <w:r>
        <w:rPr>
          <w:rFonts w:ascii="Palatino Linotype" w:hAnsi="Palatino Linotype"/>
          <w:i/>
          <w:sz w:val="20"/>
        </w:rPr>
        <w:t>4.1. Características dos Estudos, Populações Investigadas e Distribuição Geográfica das Pesquisas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(Gouttebarge et al., 2026; Henriksen et al., 2020; Reardon et al., 2019). A concentração na Espanha e no Brasil coincide com regiões de forte tradição competitiva, mas a expansão recente incluiu estudos do Irã sobre o medo de nova lesão (Seyedahmadi et al., 2025) e da Tunísia sobre os efeitos do jejum do Ramadã (Bougrine et al., 2024; Graja et al., 2021). A pandemia de COVID-19 gerou um núcleo próprio de estudos, que documentou a queda da carga de treino e da qualidade do sono durante o isolamento (Mon-López et al., 2020), a redução do bem-estar psicológico de jogadoras de seleção (Suárez Iglesias et al., 2023) e a preparação mental de atletas olímpicos sob imprevisibilidade (Aase et al., 2025).</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(Saha et al., 2025), e o medo de nova lesão foi maior entre os homens (Seyedahmadi et al., 2025). A correlação negativa entre ano e tamanho amostral reflete a expansão de delineamentos intensivos, com medidas repetidas em poucos atletas de uma mesma equipe (Andolsek &amp; Čater, 2025; Bauer et al., 2026; Bugten et al., 2026b). Esses delineamentos aproximam a pesquisa da rotina das equipes, porém exigem modelos estatísticos adequados à dependência entre observações (Reifsteck et al., 2021), e a falta de relato da amostra configura desperdício evitável de pesquisa (Chalmers &amp; Glasziou, 2009).</w:t>
      </w:r>
    </w:p>
    <w:p>
      <w:pPr>
        <w:keepNext/>
        <w:spacing w:before="120" w:after="40" w:lineRule="exact" w:line="217"/>
        <w:ind w:left="2381" w:firstLine="0"/>
        <w:jc w:val="left"/>
      </w:pPr>
      <w:r>
        <w:rPr>
          <w:rFonts w:ascii="Palatino Linotype" w:hAnsi="Palatino Linotype"/>
          <w:i/>
          <w:sz w:val="20"/>
        </w:rPr>
        <w:t>4.2. Variáveis Psicológicas, Domínios Conceituais e Contextos de Treinamento e de Competição</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(Deci &amp; Ryan, 2000) e com a tradição da ansiedade competitiva (Jones, 1995). Os estudos recentes refinaram essa agenda. Em medidas repetidas a cada treino, o apoio do treinador às necessidades psicológicas básicas associou-se ao prazer de jovens jogadoras (Bugten et al., 2026a, 2026b); o controle exercido pelo treinador predisse mais ansiedade e menos autoconfiança, enquanto a coesão predisse o padrão inverso (Wang et al., 2024); e a qualidade da relação entre treinador e atleta associou-se à coesão e à motivação autônoma (Freire et al., 2022). O clima orientado ao ego associou-se à ansiedade e à depressão de adolescentes (Greblo Jurakić et al., 2026), e perfis com maior medo do fracasso reuniram a maior ansiedade e a menor motivação autodeterminada (Gómez-López et al., 2021, 2024).</w:t>
      </w:r>
    </w:p>
    <w:p>
      <w:pPr>
        <w:spacing w:before="0" w:after="0" w:lineRule="exact" w:line="217"/>
        <w:ind w:left="2381" w:firstLine="425"/>
        <w:jc w:val="both"/>
      </w:pPr>
      <w:r>
        <w:rPr>
          <w:rFonts w:ascii="Palatino Linotype" w:hAnsi="Palatino Linotype"/>
          <w:i w:val="0"/>
          <w:sz w:val="20"/>
        </w:rPr>
        <w:t>Burnout e saúde mental, centrais nas recomendações internacionais (Moesch et al., 2018; Schinke et al., 2018), reuniram 14 estudos, quase todos recentes. O medo do fracasso mediou a relação entre comprometimento e burnout em jovens (González-Hernández et al., 2021); o burnout aumentou em candidatos à seleção brasileira ao longo de um camping nacional, embora em níveis baixos (Santos-Afonso et al., 2023); a carga psicossocial predisse lesões e doenças em atletas de elite (Drole et al., 2025b); e a afetividade negativa compôs o perfil de risco para o uso preventivo de analgésicos (Bursik et al., 2025). Esses achados convergem com a metanálise que associa estresse e burnout (Lin et al., 2022) e com a prontidão psicológica como condição para o retorno ao esporte após lesão (Webster &amp; Feller, 2022).</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(Bühren &amp; Gabriel, 2023); a pressão manipulada experimentalmente elevou a ansiedade sem afetar o desempenho (Wolf &amp; Utesch, 2024); a autoestima aumentou a probabilidade de gol sob esquemas de incentivo (Bühren &amp; Träger, 2022); e goleiros internacionais relataram confiança moderada a alta diante da regra do gol vazio, associada à quantidade de prática (Iusepolsky et al., 2022). Esses resultados convergem com a leitura de pistas como competência central do goleiro (Huesmann et al., 2023) e com a modelagem da força momentânea, que identifica fases de vantagem e de desvantagem ao longo da partida (Russomanno et al., 2021).</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(Horička et al., 2024); outro mostrou que a aprendizagem por imaginação favoreceu a reconstrução de diagramas táticos apenas entre novatos (Mguidich et al., 2026); e a introdução de oposição reduziu a velocidade e a precisão do arremesso (van den Tillaar &amp; Hope, 2023). Em contraste, a literatura perceptivo-cognitiva do handebol examina a antecipação, a leitura de pistas e as representações táticas (Cocić et al., 2021; Nicolosi et al., 2023; Vogel &amp; Schack, 2023), e o sono facilitou o treino de antecipação de goleiros novatos (Schorer et al., 2021),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(Kellmann et al., 2018; Saw et al., 2016) e com o consenso sobre o sono do atleta (Walsh et al., 2021). As escalas breves de estresse e recuperação associaram-se à creatina quinase (Henze et al., 2024) e à carga externa durante o jogo oficial (Bauer et al., 2026); a posição e a condição de titular modularam a fadiga e o índice de Hooper após as partidas (García-Sánchez et al., 2025); as viagens reduziram o tempo de sono (Font et al., 2025); e o desligamento mental atenuou a relação entre demandas e desempenho (Ji et al., 2026). A percepção subjetiva de esforço, válida para quantificar a carga de jovens handebolistas (Pedersen et al., 2023), sustenta o monitoramento de temporadas completas no handebol feminino de elite (Struzik et al., 2026), e no handebol de praia as demandas próprias da modalidade (Sánchez-Sáez et al., 2021b) acompanharam o aumento do estresse e da fadiga durante competições de vários dias (Lara-Cobos et al., 2024).</w:t>
      </w:r>
    </w:p>
    <w:p>
      <w:pPr>
        <w:keepNext/>
        <w:spacing w:before="120" w:after="40" w:lineRule="exact" w:line="217"/>
        <w:ind w:left="2381" w:firstLine="0"/>
        <w:jc w:val="left"/>
      </w:pPr>
      <w:r>
        <w:rPr>
          <w:rFonts w:ascii="Palatino Linotype" w:hAnsi="Palatino Linotype"/>
          <w:i/>
          <w:sz w:val="20"/>
        </w:rPr>
        <w:t>4.3. Delineamentos e Protocolos das Intervenções</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(Ely et al., 2021). Os experimentos sem intervenção demonstram, ainda assim, que os estados psicológicos respondem de modo causal a manipulações controladas: a fadiga mental prejudicou o desempenho físico (Penna et al., 2018); o horário do dia modulou o humor e o rendimento (Essid et al., 2022); o jejum do Ramadã alterou a sonolência e o desempenho cognitivo (Bougrine et al., 2024; Graja et al., 2021); e a introdução de oposição reduziu a velocidade e a precisão do arremesso sem alterar as estratégias de enfrentamento (van den Tillaar &amp; Hope, 2023).</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(Campbell et al., 2012) e os delineamentos de caso único com linha de base múltipla (Barker et al., 2013) oferecem alternativas rigorosas. Os comparadores também são frágeis: predominaram controles inativos, e apenas uma intervenção empregou placebo (Carvalho et al., 2018). Com mediana de 33 participantes, o poder estatístico é baixo e os efeitos significativos tendem a ser superestimados (Abt et al., 2020; Button et al., 2013); a semelhança entre a proporção de efeitos nos ensaios randomizados (7 de 10) e nos quase-experimentais (7 de 13) não indica, portanto, robustez.</w:t>
      </w:r>
    </w:p>
    <w:p>
      <w:pPr>
        <w:keepNext/>
        <w:spacing w:before="120" w:after="40" w:lineRule="exact" w:line="217"/>
        <w:ind w:left="2381" w:firstLine="0"/>
        <w:jc w:val="left"/>
      </w:pPr>
      <w:r>
        <w:rPr>
          <w:rFonts w:ascii="Palatino Linotype" w:hAnsi="Palatino Linotype"/>
          <w:i/>
          <w:sz w:val="20"/>
        </w:rPr>
        <w:t>4.4. Resultados das Intervenções e Lacunas</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(Metan &amp; Küçük, 2022); o relaxamento muscular progressivo com imagética melhorou a motivação autodeterminada (Saket et al., 2026); um programa de flow baseado em mindfulness aprimorou a tomada de decisão e o bem-estar (Martiny et al., 2024); e seis semanas de mindfulness melhoraram o controle inibitório em ensaio randomizado (Staiano et al., 2026). Um programa piloto de compaixão e terapia de aceitação e compromisso reduziu o estresse competitivo (Carraça &amp; Magalhães, 2025), e a hipnose adaptada à equipe, aplicada ao longo de oito jogos oficiais, melhorou as subescalas de ansiedade e de autoconfiança (Yüksel et al., 2025). Esses resultados convergem com as metanálises sobre autodiálogo (Hatzigeorgiadis et al., 2011), imagética (Simonsmeier et al., 2021) e mindfulness (Si et al., 2024), bem como com a síntese de Reinebo et al. (2024),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(Benešová &amp; Drozdová, 2024; Hasan et al., 2019; Martínez et al., 1998; Upadhyay et al., 2025), o que impede distinguir o efeito psicológico do efeito da prática adicional (Hagger &amp; Hamilton, 2025). Em outro, ansiedade e estresse diminuíram em todos os grupos, inclusive no controle (Norouzi et al., 2025). E nenhuma intervenção visou o burnout, a saúde mental ou a construção de equipe, apesar de programas testados em atletas (Breslin et al., 2022) e de efeitos documentados em metanálise (Martin et al., 2009). As intervenções conduzidas pelo treinador ocupam posição estratégica, pois alcançam toda a equipe: o feedback em vídeo entregue a treinadores reduziu a ansiedade dos atletas (Paul Meeûs et al., 2010), e o feedback positivo, negativo ou comparativo alterou o afeto e a competência percebida (García-Herrero et al., 2022; Soto et al., 2020), em consonância com a metanálise de intervenções baseadas na autodeterminação (Ntoumanis et al., 2021); o próprio treinador, também exposto ao estresse do jogo, foi objeto de um protocolo de respiração lenta aplicado em partidas oficiais (Nikolovski et al., 2023a). No domínio da recuperação, o contraste é notório: o tema de carga, recuperação e bem-estar foi o maior da rede, com 109 estudos, mas as três intervenções testadas reuniram até 11 atletas e desfechos de curto prazo (L'Hermette et al., 2020; Nishida et al., 2021; Nuell et al., 2025). Pela abordagem GRADE (Guyatt et al., 2008), apenas o treino psicológico e o feedback do treinador alcançaram certeza moderada.</w:t>
      </w:r>
    </w:p>
    <w:p>
      <w:pPr>
        <w:keepNext/>
        <w:spacing w:before="120" w:after="40" w:lineRule="exact" w:line="217"/>
        <w:ind w:left="2381" w:firstLine="0"/>
        <w:jc w:val="left"/>
      </w:pPr>
      <w:r>
        <w:rPr>
          <w:rFonts w:ascii="Palatino Linotype" w:hAnsi="Palatino Linotype"/>
          <w:i/>
          <w:sz w:val="20"/>
        </w:rPr>
        <w:t>4.5. Limitações e Estudos Futuros</w:t>
      </w:r>
    </w:p>
    <w:p>
      <w:pPr>
        <w:spacing w:before="0" w:after="0" w:lineRule="exact" w:line="217"/>
        <w:ind w:left="2381" w:firstLine="425"/>
        <w:jc w:val="both"/>
      </w:pPr>
      <w:r>
        <w:rPr>
          <w:rFonts w:ascii="Palatino Linotype" w:hAnsi="Palatino Linotype"/>
          <w:i w:val="0"/>
          <w:sz w:val="20"/>
        </w:rPr>
        <w:t>A triagem e a extração foram assistidas por modelo de linguagem, e a conferência humana por amostragem não foi concluída, de modo que os resultados devem ser considerados provisórios. A pré-classificação por regras deixou 1.613 registros fora da triagem, os desfechos provieram do texto completo em 146 estudos e, por se tratar de revisão de mapeamento, não se avaliou a qualidade metodológica nem se estimou o tamanho dos efeitos (Khalil et al., 2025). Entre os pontos fortes, destacam-se a busca em oito bases sem restrição de data, a análise temporal triangulada e a rastreabilidade de cada resultado até o trecho literal da fonte (Apêndice A). A Tabela 6 converte as lacunas em agenda; recomendam-se o relato conforme o CONSORT (Schulz et al., 2010) e a descrição da intervenção conforme o TIDieR (Hoffmann et al., 2014).</w:t>
      </w:r>
    </w:p>
    <w:p>
      <w:pPr>
        <w:keepNext/>
        <w:spacing w:before="160" w:after="80" w:lineRule="exact" w:line="216"/>
        <w:ind w:left="2381" w:firstLine="0"/>
        <w:jc w:val="both"/>
      </w:pPr>
      <w:r>
        <w:rPr>
          <w:rFonts w:ascii="Palatino Linotype" w:hAnsi="Palatino Linotype"/>
          <w:b/>
          <w:sz w:val="18"/>
        </w:rPr>
        <w:t>Tabela 6.</w:t>
      </w:r>
      <w:r>
        <w:rPr>
          <w:rFonts w:ascii="Palatino Linotype" w:hAnsi="Palatino Linotype"/>
          <w:i w:val="0"/>
          <w:sz w:val="18"/>
        </w:rPr>
        <w:t xml:space="preserve"> Agenda de pesquisa para estudos de intervenção psicológica no handebol.</w:t>
      </w:r>
    </w:p>
    <w:tbl>
      <w:tblPr>
        <w:jc w:val="center"/>
        <w:tblLayout w:type="fixed"/>
        <w:tblLook w:firstColumn="1" w:firstRow="1" w:lastColumn="0" w:lastRow="0" w:noHBand="0" w:noVBand="1" w:val="04A0"/>
        <w:tblW w:w="9072" w:type="dxa"/>
        <w:tblLayout w:type="fixed"/>
      </w:tblPr>
      <w:tblGrid>
        <w:gridCol w:w="1927"/>
        <w:gridCol w:w="2381"/>
        <w:gridCol w:w="2381"/>
        <w:gridCol w:w="2381"/>
      </w:tblGrid>
      <w:tr>
        <w:trPr>
          <w:tblHeader w:val="true"/>
        </w:trPr>
        <w:tc>
          <w:tcPr>
            <w:tcW w:w="1927"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Lacuna identificada</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Situação atual</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Delineamento recomendado</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Desfechos e medidas</w:t>
            </w:r>
          </w:p>
        </w:tc>
      </w:tr>
      <w:tr>
        <w:tc>
          <w:tcPr>
            <w:tcW w:w="1927"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e saúde mental</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14 estudos observacionais; nenhuma intervenção</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ECR por equipes, com seguimento de uma temporada</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(ABQ), sintomas de saúde mental e abandono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no microciclo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intervenções agudas ou curtas, n ≤ 11</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Cruzado ou ECR com monitoramento diário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percebida, sono e carga interna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Intervenção na competição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Uma intervenção recente avaliada em jogos oficiais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Caso único ou ECR em torneio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Ansiedade de estado (CSAI-2R) e indicadores de jogo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Mediadores do treino psicológico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4 de 10 estudos sem medida psicológica</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fatorial com medida do mediador</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Autoeficácia, atenção e regulação emocional</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Ação do treinador em longo prazo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Efeitos imediatos; motivação autônoma com resultado misto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por equipes, seguimento de 6 a 12 meses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Necessidades básicas e motivação autônoma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Decisão sob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Poucos estudos, com medidas fora do jogo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Oclusão temporal e jogos reduzidos com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Precisão e tempo de decisão, busca visual e ansiedade</w:t>
            </w:r>
          </w:p>
        </w:tc>
      </w:tr>
      <w:tr>
        <w:tc>
          <w:tcPr>
            <w:tcW w:w="1927"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Categorias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Nenhum ECR entre os 50 estudos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ECR por clubes ou escolas, estratificado por sexo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Diversão, competência e intenção de persistir</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w:t>
      </w:r>
    </w:p>
    <w:p>
      <w:pPr>
        <w:spacing w:before="0" w:after="0" w:lineRule="exact" w:line="217"/>
        <w:ind w:left="2381" w:firstLine="425"/>
        <w:jc w:val="both"/>
      </w:pPr>
      <w:r>
        <w:rPr>
          <w:rFonts w:ascii="Palatino Linotype" w:hAnsi="Palatino Linotype"/>
          <w:i w:val="0"/>
          <w:sz w:val="20"/>
        </w:rPr>
        <w:t>Embora 199 estudos tenham sido publicados desde 1994, com concentração nos últimos anos, é necessário um esforço dos pesquisadores para produzir conhecimento experimental sobre as variáveis psicológicas no handebol, pois, apesar do número relevante de estudos, as intervenções são poucas, curtas e de amostras pequenas, o que limita conclusões específicas. A maioria dos estudos também não relatou o sexo, o contexto da medida, o instrumento ou a dose da intervenção, informações que condicionam a interpretação dos resultados. O foco de estudos futuros deve ser testar intervenções em diferentes contextos de treinamento e de competição, níveis competitivos e categorias, com ensaios randomizados por equipes (Campbell et al., 2012), delineamentos de caso único (Barker et al., 2013), medida dos mediadores psicológicos (Hagger &amp; Hamilton, 2025) e seguimento prolongado.</w:t>
      </w:r>
    </w:p>
    <w:p>
      <w:pPr>
        <w:keepNext/>
        <w:spacing w:before="120" w:after="40" w:lineRule="exact" w:line="217"/>
        <w:ind w:left="2381" w:firstLine="0"/>
        <w:jc w:val="left"/>
      </w:pPr>
      <w:r>
        <w:rPr>
          <w:rFonts w:ascii="Palatino Linotype" w:hAnsi="Palatino Linotype"/>
          <w:i/>
          <w:sz w:val="20"/>
        </w:rPr>
        <w:t>4.6. Inovações, Pontos Fortes e Aplicações Práticas</w:t>
      </w:r>
    </w:p>
    <w:p>
      <w:pPr>
        <w:spacing w:before="0" w:after="0" w:lineRule="exact" w:line="217"/>
        <w:ind w:left="2381" w:firstLine="425"/>
        <w:jc w:val="both"/>
      </w:pPr>
      <w:r>
        <w:rPr>
          <w:rFonts w:ascii="Palatino Linotype" w:hAnsi="Palatino Linotype"/>
          <w:i w:val="0"/>
          <w:sz w:val="20"/>
        </w:rPr>
        <w:t>Até onde se tem conhecimento, após extensa busca em bases internacionais, a presente revisão de mapeamento é a primeira desenvolvida sobre as variáveis psicológicas no treinamento e na competição do handebol. Além desse caráter inovador, a revisão combinou a análise de redes de coocorrência, a análise temporal triangulada e a rastreabilidade de cada resultado até o trecho literal da fonte, o que distingue sinal e ruído na trajetória da produção e permite verificar cada afirmação (Apêndice A).</w:t>
      </w:r>
    </w:p>
    <w:p>
      <w:pPr>
        <w:spacing w:before="0" w:after="0" w:lineRule="exact" w:line="217"/>
        <w:ind w:left="2381" w:firstLine="425"/>
        <w:jc w:val="both"/>
      </w:pPr>
      <w:r>
        <w:rPr>
          <w:rFonts w:ascii="Palatino Linotype" w:hAnsi="Palatino Linotype"/>
          <w:i w:val="0"/>
          <w:sz w:val="20"/>
        </w:rPr>
        <w:t>Os resultados, as análises e as conclusões permitem diversas aplicações práticas. Para técnicos, as evidências sustentam sessões breves e regulares de habilidades psicológicas associadas a tarefas específicas do jogo (Martiny et al., 2024; Staiano et al., 2026), o apoio às necessidades psicológicas dos atletas (Bugten et al., 2026b), o encorajamento verbal entre colegas, que melhorou indicadores ofensivos em jogos reduzidos (Sahli et al., 2023), e o monitoramento do sono e do bem-estar em relação à carga, às viagens e ao calendário (Font et al., 2025; García-Sánchez et al., 2025). Para atletas, recomendam-se rotinas pré-desempenho com autodiálogo e imagética (Hatzigeorgiadis et al., 2011) e o desligamento psicológico fora do treino (Ji et al., 2026).</w:t>
      </w:r>
    </w:p>
    <w:p>
      <w:pPr>
        <w:spacing w:before="0" w:after="0" w:lineRule="exact" w:line="217"/>
        <w:ind w:left="2381" w:firstLine="425"/>
        <w:jc w:val="both"/>
      </w:pPr>
      <w:r>
        <w:rPr>
          <w:rFonts w:ascii="Palatino Linotype" w:hAnsi="Palatino Linotype"/>
          <w:i w:val="0"/>
          <w:sz w:val="20"/>
        </w:rPr>
        <w:t>Com base nas recomendações dos estudos incluídos nesta revisão de mapeamento, estratificaram-se informações relevantes para pesquisadores e gestores esportivos e para técnicos, psicólogos do esporte e atletas, a fim de orientar a prática e identificar lacunas a serem investigadas em pesquisas futuras. Os cuidados e as observações a serem considerados são apresentados na Tabela 7.</w:t>
      </w:r>
    </w:p>
    <w:p>
      <w:pPr>
        <w:keepNext/>
        <w:spacing w:before="160" w:after="80" w:lineRule="exact" w:line="216"/>
        <w:ind w:left="2381" w:firstLine="0"/>
        <w:jc w:val="both"/>
      </w:pPr>
      <w:r>
        <w:rPr>
          <w:rFonts w:ascii="Palatino Linotype" w:hAnsi="Palatino Linotype"/>
          <w:b/>
          <w:sz w:val="18"/>
        </w:rPr>
        <w:t>Tabela 7.</w:t>
      </w:r>
      <w:r>
        <w:rPr>
          <w:rFonts w:ascii="Palatino Linotype" w:hAnsi="Palatino Linotype"/>
          <w:i w:val="0"/>
          <w:sz w:val="18"/>
        </w:rPr>
        <w:t xml:space="preserve"> Recomendações para pesquisadores e gestores esportivos e para técnicos, psicólogos do esporte e atletas.</w:t>
      </w:r>
    </w:p>
    <w:tbl>
      <w:tblPr>
        <w:jc w:val="center"/>
        <w:tblLayout w:type="fixed"/>
        <w:tblLook w:firstColumn="1" w:firstRow="1" w:lastColumn="0" w:lastRow="0" w:noHBand="0" w:noVBand="1" w:val="04A0"/>
        <w:tblW w:w="9072" w:type="dxa"/>
        <w:tblLayout w:type="fixed"/>
      </w:tblPr>
      <w:tblGrid>
        <w:gridCol w:w="4536"/>
        <w:gridCol w:w="4536"/>
      </w:tblGrid>
      <w:tr>
        <w:trPr>
          <w:tblHeader w:val="true"/>
        </w:trPr>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Pesquisadores e Gestores Esportivos</w:t>
            </w:r>
          </w:p>
        </w:tc>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Técnicos, Psicólogos do Esporte e Atletas</w:t>
            </w:r>
          </w:p>
        </w:tc>
      </w:tr>
      <w:tr>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Ensaios randomizados por equipes (conglomerados), com seguimento de uma temporada, pois a randomização individual é pouco viável quando os atletas treinam juntos (Campbell et al., 2012).</w:t>
            </w:r>
          </w:p>
        </w:tc>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Sessões breves e regulares de habilidades psicológicas associadas a tarefas específicas do jogo (Martiny et al., 2024; Staiano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Delineamentos de caso único com linha de base múltipla como alternativa rigorosa para equipes pequenas (Barker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Apoio do treinador às necessidades psicológicas básicas dos atletas (Bugten et al., 2026b).</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Cálculo do poder estatístico, pois amostras com mediana de 33 participantes tendem a superestimar os efeitos significativos (Abt et al., 2020; Button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Atenção ao clima orientado ao ego, associado à ansiedade e à depressão de adolescentes (Greblo Jurakić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Intervenções voltadas ao burnout e à saúde mental, domínio ainda sem teste experimental no handebol (Breslin et al., 2022).</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Uso planejado do feedback, que alterou a ansiedade, o afeto e a competência percebida dos atletas (García-Herrero et al., 2022; Paul Meeûs et al., 2010; Soto et al., 2020).</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Medida dos mediadores psicológicos nos programas de treino mental, e não apenas do desempenho técnico (Hagger &amp; Hamilton, 2025).</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Encorajamento verbal entre colegas em jogos reduzidos (Sahli et al., 2023).</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Relato conforme o CONSORT (Schulz et al., 2010) e descrição da intervenção conforme o TIDieR (Hoffmann et al., 2014), com sexo, contexto, instrumento e dose.</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Monitoramento do sono e do bem-estar em relação à carga, às viagens e ao calendário (Font et al., 2025; García-Sánchez et al., 2025).</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Padronização dos instrumentos, para reduzir a dispersão das medidas entre os estudos (Flake &amp; Fried, 2020).</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Rotinas pré-desempenho com autodiálogo e imagética (Hatzigeorgiadis et al., 2011).</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Modelos estatísticos adequados a medidas repetidas em poucos atletas de uma mesma equipe (Reifsteck et al., 2021).</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Desligamento psicológico fora do treino (Ji et al., 2026).</w:t>
            </w:r>
          </w:p>
        </w:tc>
      </w:tr>
      <w:tr>
        <w:tc>
          <w:tcPr>
            <w:tcW w:w="4536"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  Integração das tradições psicológica e perceptivo-cognitiva no estudo da decisão sob oposição (Nicolosi et al., 2023; Vogel &amp; Schack, 2023).</w:t>
            </w:r>
          </w:p>
        </w:tc>
        <w:tc>
          <w:tcPr>
            <w:tcW w:w="4536" w:type="dxa"/>
            <w:tcBorders>
              <w:top w:val="single" w:sz="4" w:color="000000"/>
              <w:bottom w:val="single" w:sz="8" w:color="000000"/>
              <w:left w:val="nil"/>
              <w:right w:val="nil"/>
            </w:tcBorders>
          </w:tcPr>
          <w:p>
            <w:pPr>
              <w:spacing w:before="20" w:after="20" w:lineRule="exact" w:line="210"/>
              <w:jc w:val="left"/>
            </w:pPr>
          </w:p>
        </w:tc>
      </w:tr>
    </w:tbl>
    <w:p>
      <w:pPr>
        <w:spacing w:after="40"/>
      </w:pPr>
    </w:p>
    <w:p>
      <w:pPr>
        <w:keepNext/>
        <w:spacing w:before="200" w:after="80" w:lineRule="exact" w:line="300"/>
        <w:ind w:left="2381" w:firstLine="0"/>
        <w:jc w:val="left"/>
      </w:pPr>
      <w:r>
        <w:rPr>
          <w:rFonts w:ascii="Palatino Linotype" w:hAnsi="Palatino Linotype"/>
          <w:b/>
          <w:sz w:val="24"/>
        </w:rPr>
        <w:t>5. Conclusões</w:t>
      </w:r>
    </w:p>
    <w:p>
      <w:pPr>
        <w:spacing w:before="0" w:after="0" w:lineRule="exact" w:line="217"/>
        <w:ind w:left="2381" w:firstLine="425"/>
        <w:jc w:val="both"/>
      </w:pPr>
      <w:r>
        <w:rPr>
          <w:rFonts w:ascii="Palatino Linotype" w:hAnsi="Palatino Linotype"/>
          <w:i w:val="0"/>
          <w:sz w:val="20"/>
        </w:rPr>
        <w:t>Conclui-se que as evidências científicas sobre as variáveis psicológicas no treinamento e na competição do handebol são amplas, recentes e predominantemente observacionais. Os principais pontos dos achados são:</w:t>
      </w:r>
    </w:p>
    <w:p>
      <w:pPr>
        <w:spacing w:before="0" w:after="20" w:lineRule="exact" w:line="217"/>
        <w:ind w:left="2636" w:hanging="255"/>
        <w:jc w:val="both"/>
      </w:pPr>
      <w:r>
        <w:rPr>
          <w:rFonts w:ascii="Palatino Linotype" w:hAnsi="Palatino Linotype"/>
          <w:i w:val="0"/>
          <w:sz w:val="20"/>
        </w:rPr>
        <w:t>•</w:t>
        <w:tab/>
        <w:t>Os 199 estudos concentraram-se após 2020, na Espanha e no Brasil e em atletas de alto rendimento e de formação, com amostras pequenas e relato incompleto do sexo;</w:t>
      </w:r>
    </w:p>
    <w:p>
      <w:pPr>
        <w:spacing w:before="0" w:after="20" w:lineRule="exact" w:line="217"/>
        <w:ind w:left="2636" w:hanging="255"/>
        <w:jc w:val="both"/>
      </w:pPr>
      <w:r>
        <w:rPr>
          <w:rFonts w:ascii="Palatino Linotype" w:hAnsi="Palatino Linotype"/>
          <w:i w:val="0"/>
          <w:sz w:val="20"/>
        </w:rPr>
        <w:t>•</w:t>
        <w:tab/>
        <w:t>Motivação e autoeficácia e ansiedade e estresse foram os domínios mais investigados, e o domínio de sono, bem-estar e recuperação superou o de motivação e autoeficácia a partir de 2023;</w:t>
      </w:r>
    </w:p>
    <w:p>
      <w:pPr>
        <w:spacing w:before="0" w:after="20" w:lineRule="exact" w:line="217"/>
        <w:ind w:left="2636" w:hanging="255"/>
        <w:jc w:val="both"/>
      </w:pPr>
      <w:r>
        <w:rPr>
          <w:rFonts w:ascii="Palatino Linotype" w:hAnsi="Palatino Linotype"/>
          <w:i w:val="0"/>
          <w:sz w:val="20"/>
        </w:rPr>
        <w:t>•</w:t>
        <w:tab/>
        <w:t>Apenas 28 estudos adotaram delineamento experimental e 24 testaram intervenções, centradas no treino de habilidades psicológicas e na ação do treinador, das quais 14 relataram efeito;</w:t>
      </w:r>
    </w:p>
    <w:p>
      <w:pPr>
        <w:spacing w:before="0" w:after="20" w:lineRule="exact" w:line="217"/>
        <w:ind w:left="2636" w:hanging="255"/>
        <w:jc w:val="both"/>
      </w:pPr>
      <w:r>
        <w:rPr>
          <w:rFonts w:ascii="Palatino Linotype" w:hAnsi="Palatino Linotype"/>
          <w:i w:val="0"/>
          <w:sz w:val="20"/>
        </w:rPr>
        <w:t>•</w:t>
        <w:tab/>
        <w:t>Burnout e saúde mental permanecem sem teste experimental, e a competição oficial reúne uma única intervenção recente, o que caracteriza uma lacuna de translação entre as variáveis mais descritas e as mais testadas.</w:t>
      </w:r>
    </w:p>
    <w:p>
      <w:pPr>
        <w:spacing w:before="0" w:after="0" w:lineRule="exact" w:line="217"/>
        <w:ind w:left="2381" w:firstLine="425"/>
        <w:jc w:val="both"/>
      </w:pPr>
      <w:r>
        <w:rPr>
          <w:rFonts w:ascii="Palatino Linotype" w:hAnsi="Palatino Linotype"/>
          <w:i w:val="0"/>
          <w:sz w:val="20"/>
        </w:rPr>
        <w:t>Com base nas evidências mapeadas, técnicos, psicólogos do esporte e gestores podem priorizar o treino de habilidades psicológicas e o apoio à autonomia pelo treinador, e os pesquisadores, ensaios randomizados por equipes, com cálculo de poder, medida dos mediadores e seguimento prolongado.</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 extração dos dados dos 199 estudos incluídos consta do Apêndice A. As strings de busca, base a base, e o protocolo podem ser disponibilizados pelos autores.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do Comitê de Ética:</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Termo de Consentimento Livre e Esclarecido: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Abreviaturas</w:t>
      </w:r>
    </w:p>
    <w:p>
      <w:pPr>
        <w:tabs>
          <w:tab w:pos="3685" w:val="left"/>
        </w:tabs>
        <w:spacing w:before="0" w:after="0" w:lineRule="exact" w:line="220"/>
        <w:ind w:left="2381" w:firstLine="0"/>
        <w:jc w:val="left"/>
      </w:pPr>
      <w:r>
        <w:rPr>
          <w:rFonts w:ascii="Palatino Linotype" w:hAnsi="Palatino Linotype"/>
          <w:i w:val="0"/>
          <w:sz w:val="18"/>
        </w:rPr>
        <w:t>ABQ</w:t>
        <w:tab/>
        <w:t>Athlete Burnout Questionnaire</w:t>
      </w:r>
    </w:p>
    <w:p>
      <w:pPr>
        <w:tabs>
          <w:tab w:pos="3685" w:val="left"/>
        </w:tabs>
        <w:spacing w:before="0" w:after="0" w:lineRule="exact" w:line="220"/>
        <w:ind w:left="2381" w:firstLine="0"/>
        <w:jc w:val="left"/>
      </w:pPr>
      <w:r>
        <w:rPr>
          <w:rFonts w:ascii="Palatino Linotype" w:hAnsi="Palatino Linotype"/>
          <w:i w:val="0"/>
          <w:sz w:val="18"/>
        </w:rPr>
        <w:t>CONSORT</w:t>
        <w:tab/>
        <w:t>Consolidated Standards of Reporting Trials</w:t>
      </w:r>
    </w:p>
    <w:p>
      <w:pPr>
        <w:tabs>
          <w:tab w:pos="3685" w:val="left"/>
        </w:tabs>
        <w:spacing w:before="0" w:after="0" w:lineRule="exact" w:line="220"/>
        <w:ind w:left="2381" w:firstLine="0"/>
        <w:jc w:val="left"/>
      </w:pPr>
      <w:r>
        <w:rPr>
          <w:rFonts w:ascii="Palatino Linotype" w:hAnsi="Palatino Linotype"/>
          <w:i w:val="0"/>
          <w:sz w:val="18"/>
        </w:rPr>
        <w:t>CSAI-2</w:t>
        <w:tab/>
        <w:t>Competitive State Anxiety Inventory-2</w:t>
      </w:r>
    </w:p>
    <w:p>
      <w:pPr>
        <w:tabs>
          <w:tab w:pos="3685" w:val="left"/>
        </w:tabs>
        <w:spacing w:before="0" w:after="0" w:lineRule="exact" w:line="220"/>
        <w:ind w:left="2381" w:firstLine="0"/>
        <w:jc w:val="left"/>
      </w:pPr>
      <w:r>
        <w:rPr>
          <w:rFonts w:ascii="Palatino Linotype" w:hAnsi="Palatino Linotype"/>
          <w:i w:val="0"/>
          <w:sz w:val="18"/>
        </w:rPr>
        <w:t>ECR</w:t>
        <w:tab/>
        <w:t>ensaio clínico randomizado</w:t>
      </w:r>
    </w:p>
    <w:p>
      <w:pPr>
        <w:tabs>
          <w:tab w:pos="3685" w:val="left"/>
        </w:tabs>
        <w:spacing w:before="0" w:after="0" w:lineRule="exact" w:line="220"/>
        <w:ind w:left="2381" w:firstLine="0"/>
        <w:jc w:val="left"/>
      </w:pPr>
      <w:r>
        <w:rPr>
          <w:rFonts w:ascii="Palatino Linotype" w:hAnsi="Palatino Linotype"/>
          <w:i w:val="0"/>
          <w:sz w:val="18"/>
        </w:rPr>
        <w:t>GRADE</w:t>
        <w:tab/>
        <w:t>Grading of Recommendations Assessment, Development and Evaluation</w:t>
      </w:r>
    </w:p>
    <w:p>
      <w:pPr>
        <w:tabs>
          <w:tab w:pos="3685" w:val="left"/>
        </w:tabs>
        <w:spacing w:before="0" w:after="0" w:lineRule="exact" w:line="220"/>
        <w:ind w:left="2381" w:firstLine="0"/>
        <w:jc w:val="left"/>
      </w:pPr>
      <w:r>
        <w:rPr>
          <w:rFonts w:ascii="Palatino Linotype" w:hAnsi="Palatino Linotype"/>
          <w:i w:val="0"/>
          <w:sz w:val="18"/>
        </w:rPr>
        <w:t>PECOS</w:t>
        <w:tab/>
        <w:t>participantes, exposição, comparação, desfecho e delineamento</w:t>
      </w:r>
    </w:p>
    <w:p>
      <w:pPr>
        <w:tabs>
          <w:tab w:pos="3685" w:val="left"/>
        </w:tabs>
        <w:spacing w:before="0" w:after="0" w:lineRule="exact" w:line="220"/>
        <w:ind w:left="2381" w:firstLine="0"/>
        <w:jc w:val="left"/>
      </w:pPr>
      <w:r>
        <w:rPr>
          <w:rFonts w:ascii="Palatino Linotype" w:hAnsi="Palatino Linotype"/>
          <w:i w:val="0"/>
          <w:sz w:val="18"/>
        </w:rPr>
        <w:t>POMS</w:t>
        <w:tab/>
        <w:t>Profile of Mood States</w:t>
      </w:r>
    </w:p>
    <w:p>
      <w:pPr>
        <w:tabs>
          <w:tab w:pos="3685" w:val="left"/>
        </w:tabs>
        <w:spacing w:before="0" w:after="0" w:lineRule="exact" w:line="220"/>
        <w:ind w:left="2381" w:firstLine="0"/>
        <w:jc w:val="left"/>
      </w:pPr>
      <w:r>
        <w:rPr>
          <w:rFonts w:ascii="Palatino Linotype" w:hAnsi="Palatino Linotype"/>
          <w:i w:val="0"/>
          <w:sz w:val="18"/>
        </w:rPr>
        <w:t>PRISMA-ScR</w:t>
        <w:tab/>
        <w:t>Preferred Reporting Items for Systematic Reviews and Meta-Analyses extension for Scoping Reviews</w:t>
      </w:r>
    </w:p>
    <w:p>
      <w:pPr>
        <w:tabs>
          <w:tab w:pos="3685" w:val="left"/>
        </w:tabs>
        <w:spacing w:before="0" w:after="0" w:lineRule="exact" w:line="220"/>
        <w:ind w:left="2381" w:firstLine="0"/>
        <w:jc w:val="left"/>
      </w:pPr>
      <w:r>
        <w:rPr>
          <w:rFonts w:ascii="Palatino Linotype" w:hAnsi="Palatino Linotype"/>
          <w:i w:val="0"/>
          <w:sz w:val="18"/>
        </w:rPr>
        <w:t>QE</w:t>
        <w:tab/>
        <w:t>quase-experimental</w:t>
      </w:r>
    </w:p>
    <w:p>
      <w:pPr>
        <w:tabs>
          <w:tab w:pos="3685" w:val="left"/>
        </w:tabs>
        <w:spacing w:before="0" w:after="0" w:lineRule="exact" w:line="220"/>
        <w:ind w:left="2381" w:firstLine="0"/>
        <w:jc w:val="left"/>
      </w:pPr>
      <w:r>
        <w:rPr>
          <w:rFonts w:ascii="Palatino Linotype" w:hAnsi="Palatino Linotype"/>
          <w:i w:val="0"/>
          <w:sz w:val="18"/>
        </w:rPr>
        <w:t>QP</w:t>
        <w:tab/>
        <w:t>questão de pesquisa</w:t>
      </w:r>
    </w:p>
    <w:p>
      <w:pPr>
        <w:tabs>
          <w:tab w:pos="3685" w:val="left"/>
        </w:tabs>
        <w:spacing w:before="0" w:after="0" w:lineRule="exact" w:line="220"/>
        <w:ind w:left="2381" w:firstLine="0"/>
        <w:jc w:val="left"/>
      </w:pPr>
      <w:r>
        <w:rPr>
          <w:rFonts w:ascii="Palatino Linotype" w:hAnsi="Palatino Linotype"/>
          <w:i w:val="0"/>
          <w:sz w:val="18"/>
        </w:rPr>
        <w:t>TIDieR</w:t>
        <w:tab/>
        <w:t>Template for Intervention Description and Replication</w:t>
      </w:r>
    </w:p>
    <w:p>
      <w:pPr>
        <w:tabs>
          <w:tab w:pos="3685" w:val="left"/>
        </w:tabs>
        <w:spacing w:before="0" w:after="0" w:lineRule="exact" w:line="220"/>
        <w:ind w:left="2381" w:firstLine="0"/>
        <w:jc w:val="left"/>
      </w:pPr>
      <w:r>
        <w:rPr>
          <w:rFonts w:ascii="Palatino Linotype" w:hAnsi="Palatino Linotype"/>
          <w:i w:val="0"/>
          <w:sz w:val="18"/>
        </w:rPr>
        <w:t>n.r.</w:t>
        <w:tab/>
        <w:t>não relatado</w:t>
      </w:r>
    </w:p>
    <w:p>
      <w:pPr>
        <w:tabs>
          <w:tab w:pos="3685" w:val="left"/>
        </w:tabs>
        <w:spacing w:before="0" w:after="0" w:lineRule="exact" w:line="220"/>
        <w:ind w:left="2381" w:firstLine="0"/>
        <w:jc w:val="left"/>
      </w:pPr>
      <w:r>
        <w:rPr>
          <w:rFonts w:ascii="Palatino Linotype" w:hAnsi="Palatino Linotype"/>
          <w:i w:val="0"/>
          <w:sz w:val="18"/>
        </w:rPr>
        <w:t>s.i.</w:t>
        <w:tab/>
        <w:t>sem informação</w:t>
      </w:r>
    </w:p>
    <w:p>
      <w:pPr>
        <w:keepNext/>
        <w:spacing w:before="200" w:after="80" w:lineRule="exact" w:line="300"/>
        <w:ind w:left="2381" w:firstLine="0"/>
        <w:jc w:val="left"/>
      </w:pPr>
      <w:r>
        <w:rPr>
          <w:rFonts w:ascii="Palatino Linotype" w:hAnsi="Palatino Linotype"/>
          <w:b/>
          <w:sz w:val="24"/>
        </w:rPr>
        <w:t>Referências</w:t>
      </w:r>
    </w:p>
    <w:p>
      <w:pPr>
        <w:spacing w:before="0" w:after="40" w:lineRule="exact" w:line="210"/>
        <w:ind w:left="340" w:hanging="340"/>
        <w:jc w:val="both"/>
      </w:pPr>
      <w:r>
        <w:rPr>
          <w:rFonts w:ascii="Palatino Linotype" w:hAnsi="Palatino Linotype"/>
          <w:i w:val="0"/>
          <w:sz w:val="18"/>
        </w:rPr>
        <w:t xml:space="preserve">Aase, E., Abrahamsen, F. E., &amp; Gustafsson, H. (2025). From pandemic to podium? Norwegian Olympic handball players’ journey to Tokyo 2020.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40" w:lineRule="exact" w:line="210"/>
        <w:ind w:left="340" w:hanging="340"/>
        <w:jc w:val="both"/>
      </w:pPr>
      <w:r>
        <w:rPr>
          <w:rFonts w:ascii="Palatino Linotype" w:hAnsi="Palatino Linotype"/>
          <w:i w:val="0"/>
          <w:sz w:val="18"/>
        </w:rPr>
        <w:t xml:space="preserve">Abt, G., Boreham, C., Davison, G., Jackson, R., Nevill, A., Wallace, E., &amp; Williams, M. (2020).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(17), 1933–1935. https://doi.org/10.1080/02640414.2020.1776002</w:t>
      </w:r>
    </w:p>
    <w:p>
      <w:pPr>
        <w:spacing w:before="0" w:after="40" w:lineRule="exact" w:line="210"/>
        <w:ind w:left="340" w:hanging="340"/>
        <w:jc w:val="both"/>
      </w:pPr>
      <w:r>
        <w:rPr>
          <w:rFonts w:ascii="Palatino Linotype" w:hAnsi="Palatino Linotype"/>
          <w:i w:val="0"/>
          <w:sz w:val="18"/>
        </w:rPr>
        <w:t xml:space="preserve">Andolsek, J., &amp; Čater, R. (2025). Stressed but still in the game: how focus and rem sleep shape daily engagement in elite athletes. </w:t>
      </w:r>
      <w:r>
        <w:rPr>
          <w:rFonts w:ascii="Palatino Linotype" w:hAnsi="Palatino Linotype"/>
          <w:i/>
          <w:sz w:val="18"/>
        </w:rPr>
        <w:t>Kinesiologia Slovenica: scientific journal on sport</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(2), 177–190. https://doi.org/10.52165/kinsi.31.2.177-190</w:t>
      </w:r>
    </w:p>
    <w:p>
      <w:pPr>
        <w:spacing w:before="0" w:after="40" w:lineRule="exact" w:line="210"/>
        <w:ind w:left="340" w:hanging="340"/>
        <w:jc w:val="both"/>
      </w:pPr>
      <w:r>
        <w:rPr>
          <w:rFonts w:ascii="Palatino Linotype" w:hAnsi="Palatino Linotype"/>
          <w:i w:val="0"/>
          <w:sz w:val="18"/>
        </w:rPr>
        <w:t xml:space="preserve">Andrade, A., D’Oliveira, A., De Souza, L. C., Bastos, A. C. R. d. F., Dominski, F. H., Stabile, L., &amp; Buonanno, G. (2023). Effects of Air Pollution on the Health of Older Adults during Physical Activities: Mapping Review.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3506. https://doi.org/10.3390/ijerph20043506</w:t>
      </w:r>
    </w:p>
    <w:p>
      <w:pPr>
        <w:spacing w:before="0" w:after="40" w:lineRule="exact" w:line="210"/>
        <w:ind w:left="340" w:hanging="340"/>
        <w:jc w:val="both"/>
      </w:pPr>
      <w:r>
        <w:rPr>
          <w:rFonts w:ascii="Palatino Linotype" w:hAnsi="Palatino Linotype"/>
          <w:i w:val="0"/>
          <w:sz w:val="18"/>
        </w:rPr>
        <w:t xml:space="preserve">Arksey, H., &amp; O'Malley, L. (2005).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(1), 19–32. https://doi.org/10.1080/1364557032000119616</w:t>
      </w:r>
    </w:p>
    <w:p>
      <w:pPr>
        <w:spacing w:before="0" w:after="40" w:lineRule="exact" w:line="210"/>
        <w:ind w:left="340" w:hanging="340"/>
        <w:jc w:val="both"/>
      </w:pPr>
      <w:r>
        <w:rPr>
          <w:rFonts w:ascii="Palatino Linotype" w:hAnsi="Palatino Linotype"/>
          <w:i w:val="0"/>
          <w:sz w:val="18"/>
        </w:rPr>
        <w:t xml:space="preserve">Asai, K., Nakase, J., Yoshimizu, R., Kimura, M., Kanayama, T., Yanatori, Y., Kitaoka, K., &amp; Hiroyuki, T. (2023). Impact of the COVID-19 Pandemic on Training Sessions of Young Japanese Handball Players: A Questionnaire-Based Retrospective Cohort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(3). https://doi.org/10.5812/asjsm-136774</w:t>
      </w:r>
    </w:p>
    <w:p>
      <w:pPr>
        <w:spacing w:before="0" w:after="40" w:lineRule="exact" w:line="210"/>
        <w:ind w:left="340" w:hanging="340"/>
        <w:jc w:val="both"/>
      </w:pPr>
      <w:r>
        <w:rPr>
          <w:rFonts w:ascii="Palatino Linotype" w:hAnsi="Palatino Linotype"/>
          <w:i w:val="0"/>
          <w:sz w:val="18"/>
        </w:rPr>
        <w:t xml:space="preserve">Assunção Carvalho, L. C. d. S., de Freitas, M. C., Silva, A. S., Biasoto, A. C. T., Martins, M. d. C. d. C. e., de Moura, R. C., Brito, A. K. d. S., Silva, A. S. V. e., Ribeiro, S. L. G., Rossi, F. E., &amp; Santos, M. A. P. d. (2018). Syzygium cumini Nectar Supplementation Reduced Biomarkers of Oxidative Stress, Muscle Damage, and Improved Psychological Response in Highly Trained Young Handball Players. </w:t>
      </w:r>
      <w:r>
        <w:rPr>
          <w:rFonts w:ascii="Palatino Linotype" w:hAnsi="Palatino Linotype"/>
          <w:i/>
          <w:sz w:val="18"/>
        </w:rPr>
        <w:t>Frontiers in Physiology</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40" w:lineRule="exact" w:line="210"/>
        <w:ind w:left="340" w:hanging="340"/>
        <w:jc w:val="both"/>
      </w:pPr>
      <w:r>
        <w:rPr>
          <w:rFonts w:ascii="Palatino Linotype" w:hAnsi="Palatino Linotype"/>
          <w:i w:val="0"/>
          <w:sz w:val="18"/>
        </w:rPr>
        <w:t xml:space="preserve">Barker, J. B., Mellalieu, S. D., McCarthy, P. J., Jones, M. V., &amp; Moran, A. (2013).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(1), 4–32. https://doi.org/10.1080/10413200.2012.709579</w:t>
      </w:r>
    </w:p>
    <w:p>
      <w:pPr>
        <w:spacing w:before="0" w:after="40" w:lineRule="exact" w:line="210"/>
        <w:ind w:left="340" w:hanging="340"/>
        <w:jc w:val="both"/>
      </w:pPr>
      <w:r>
        <w:rPr>
          <w:rFonts w:ascii="Palatino Linotype" w:hAnsi="Palatino Linotype"/>
          <w:i w:val="0"/>
          <w:sz w:val="18"/>
        </w:rPr>
        <w:t xml:space="preserve">Bauer, J., Muehlbauer, T., Venzke, J., Schäfer, R., Platen, P., &amp; Gruber, M. (2026). In-game monitoring of adolescent handball players: a preliminary examination of associations between external load parameters and objective and subjective fatigue markers.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40" w:lineRule="exact" w:line="210"/>
        <w:ind w:left="340" w:hanging="340"/>
        <w:jc w:val="both"/>
      </w:pPr>
      <w:r>
        <w:rPr>
          <w:rFonts w:ascii="Palatino Linotype" w:hAnsi="Palatino Linotype"/>
          <w:i w:val="0"/>
          <w:sz w:val="18"/>
        </w:rPr>
        <w:t xml:space="preserve">Benešová, D., &amp; Drozdová, P. (2024). The Effect of Controlled Movement Imaginary on Performance in a Modified 7-Metre Shot Test of Elite Female Handball Players.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(2). https://doi.org/10.5817/sts2024-2-3</w:t>
      </w:r>
    </w:p>
    <w:p>
      <w:pPr>
        <w:spacing w:before="0" w:after="40" w:lineRule="exact" w:line="210"/>
        <w:ind w:left="340" w:hanging="340"/>
        <w:jc w:val="both"/>
      </w:pPr>
      <w:r>
        <w:rPr>
          <w:rFonts w:ascii="Palatino Linotype" w:hAnsi="Palatino Linotype"/>
          <w:i w:val="0"/>
          <w:sz w:val="18"/>
        </w:rPr>
        <w:t xml:space="preserve">Biscaia, P., Coelho, E., João, P. V., Monteiro, D., Hernandez-Mendo, A., &amp; Alves, J. (2021). Which cognitive and perceptual skills best discriminate elite female handball players.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 104–112. https://doi.org/10.26582/k.53.1.13</w:t>
      </w:r>
    </w:p>
    <w:p>
      <w:pPr>
        <w:spacing w:before="0" w:after="40" w:lineRule="exact" w:line="210"/>
        <w:ind w:left="340" w:hanging="340"/>
        <w:jc w:val="both"/>
      </w:pPr>
      <w:r>
        <w:rPr>
          <w:rFonts w:ascii="Palatino Linotype" w:hAnsi="Palatino Linotype"/>
          <w:i w:val="0"/>
          <w:sz w:val="18"/>
        </w:rPr>
        <w:t xml:space="preserve">Blondel, V. D., Guillaume, J. L., Lambiotte, R., &amp; Lefebvre, E. (2008). Fast unfolding of communities in large networks. </w:t>
      </w:r>
      <w:r>
        <w:rPr>
          <w:rFonts w:ascii="Palatino Linotype" w:hAnsi="Palatino Linotype"/>
          <w:i/>
          <w:sz w:val="18"/>
        </w:rPr>
        <w:t>Journal of Statistical Mechanics: Theory and Experiment</w:t>
      </w:r>
      <w:r>
        <w:rPr>
          <w:rFonts w:ascii="Palatino Linotype" w:hAnsi="Palatino Linotype"/>
          <w:i w:val="0"/>
          <w:sz w:val="18"/>
        </w:rPr>
        <w:t xml:space="preserve">, </w:t>
      </w:r>
      <w:r>
        <w:rPr>
          <w:rFonts w:ascii="Palatino Linotype" w:hAnsi="Palatino Linotype"/>
          <w:i/>
          <w:sz w:val="18"/>
        </w:rPr>
        <w:t>2008</w:t>
      </w:r>
      <w:r>
        <w:rPr>
          <w:rFonts w:ascii="Palatino Linotype" w:hAnsi="Palatino Linotype"/>
          <w:i w:val="0"/>
          <w:sz w:val="18"/>
        </w:rPr>
        <w:t>(10), P10008. https://doi.org/10.1088/1742-5468/2008/10/p10008</w:t>
      </w:r>
    </w:p>
    <w:p>
      <w:pPr>
        <w:spacing w:before="0" w:after="40" w:lineRule="exact" w:line="210"/>
        <w:ind w:left="340" w:hanging="340"/>
        <w:jc w:val="both"/>
      </w:pPr>
      <w:r>
        <w:rPr>
          <w:rFonts w:ascii="Palatino Linotype" w:hAnsi="Palatino Linotype"/>
          <w:i w:val="0"/>
          <w:sz w:val="18"/>
        </w:rPr>
        <w:t xml:space="preserve">Bonjour, C., Tortajada, D. A., Dol, G., &amp; Gonzalez, A. (2021).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40" w:lineRule="exact" w:line="210"/>
        <w:ind w:left="340" w:hanging="340"/>
        <w:jc w:val="both"/>
      </w:pPr>
      <w:r>
        <w:rPr>
          <w:rFonts w:ascii="Palatino Linotype" w:hAnsi="Palatino Linotype"/>
          <w:i w:val="0"/>
          <w:sz w:val="18"/>
        </w:rPr>
        <w:t xml:space="preserve">Bougrine, H., Chalghaf, N., Azaiez, C., Hammad, A. S., Boussayala, G., Dhahri, M., Henchiri, H., Al-Saedi, A. I. A. U., Al-Hayali, M. D. A., AL-Rubaiawi, A. W. M. S., Ezzi, A. F. T., AL-Sadoon, N. M. N., Souissi, N., Azaiez, F., Dergaa, I., &amp; Al-Asmakh, M. (2024). The impact of intermittent fasting during Ramadan on psychomotor and cognitive skills in adolescent athletes.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40" w:lineRule="exact" w:line="210"/>
        <w:ind w:left="340" w:hanging="340"/>
        <w:jc w:val="both"/>
      </w:pPr>
      <w:r>
        <w:rPr>
          <w:rFonts w:ascii="Palatino Linotype" w:hAnsi="Palatino Linotype"/>
          <w:i w:val="0"/>
          <w:sz w:val="18"/>
        </w:rPr>
        <w:t xml:space="preserve">Bougrine, H., Nasser, N., Abdessalem, R., Ammar, A., Chtourou, H., &amp; Souissi, N. (2023).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(15), 3432. https://doi.org/10.3390/nu15153432</w:t>
      </w:r>
    </w:p>
    <w:p>
      <w:pPr>
        <w:spacing w:before="0" w:after="40" w:lineRule="exact" w:line="210"/>
        <w:ind w:left="340" w:hanging="340"/>
        <w:jc w:val="both"/>
      </w:pPr>
      <w:r>
        <w:rPr>
          <w:rFonts w:ascii="Palatino Linotype" w:hAnsi="Palatino Linotype"/>
          <w:i w:val="0"/>
          <w:sz w:val="18"/>
        </w:rPr>
        <w:t xml:space="preserve">Breslin, G., Shannon, S., Cummings, M., &amp; Leavey, G. (2022). An updated systematic review of interventions to increase awareness of mental health and well-being in athletes, coaches, officials and parents.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(1), 99. https://doi.org/10.1186/s13643-022-01932-5</w:t>
      </w:r>
    </w:p>
    <w:p>
      <w:pPr>
        <w:spacing w:before="0" w:after="40" w:lineRule="exact" w:line="210"/>
        <w:ind w:left="340" w:hanging="340"/>
        <w:jc w:val="both"/>
      </w:pPr>
      <w:r>
        <w:rPr>
          <w:rFonts w:ascii="Palatino Linotype" w:hAnsi="Palatino Linotype"/>
          <w:i w:val="0"/>
          <w:sz w:val="18"/>
        </w:rPr>
        <w:t xml:space="preserve">Brown, D. J., &amp; Fletcher, D. (2017). Effects of Psychological and Psychosocial Interventions on Sport Performance: A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 77–99. https://doi.org/10.1007/s40279-016-0552-7</w:t>
      </w:r>
    </w:p>
    <w:p>
      <w:pPr>
        <w:spacing w:before="0" w:after="40" w:lineRule="exact" w:line="210"/>
        <w:ind w:left="340" w:hanging="340"/>
        <w:jc w:val="both"/>
      </w:pPr>
      <w:r>
        <w:rPr>
          <w:rFonts w:ascii="Palatino Linotype" w:hAnsi="Palatino Linotype"/>
          <w:i w:val="0"/>
          <w:sz w:val="18"/>
        </w:rPr>
        <w:t>Bugten, J. B., Haugen, T., Spencer, M., Ivarsson, A., Byrkjedal, P. T., Stenling, A., &amp; Solstad, B. E. (2026a). Youth Players Basic Need Satisfaction, Enjoyment and Pleasure within daily team sport training sessions, and the relationships with Physical Load Engagement: An intensive within-person longitudinal study. **. https://doi.org/10.21203/rs.3.rs-8338987/v1</w:t>
      </w:r>
    </w:p>
    <w:p>
      <w:pPr>
        <w:spacing w:before="0" w:after="40" w:lineRule="exact" w:line="210"/>
        <w:ind w:left="340" w:hanging="340"/>
        <w:jc w:val="both"/>
      </w:pPr>
      <w:r>
        <w:rPr>
          <w:rFonts w:ascii="Palatino Linotype" w:hAnsi="Palatino Linotype"/>
          <w:i w:val="0"/>
          <w:sz w:val="18"/>
        </w:rPr>
        <w:t xml:space="preserve">Bugten, J. B., Solstad, B. E., Ivarsson, A., Spencer, M. R., Stenling, A., &amp; Haugen, T. (2026b).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(5), 315–323. https://doi.org/10.1123/jsep.2025-0306</w:t>
      </w:r>
    </w:p>
    <w:p>
      <w:pPr>
        <w:spacing w:before="0" w:after="40" w:lineRule="exact" w:line="210"/>
        <w:ind w:left="340" w:hanging="340"/>
        <w:jc w:val="both"/>
      </w:pPr>
      <w:r>
        <w:rPr>
          <w:rFonts w:ascii="Palatino Linotype" w:hAnsi="Palatino Linotype"/>
          <w:i w:val="0"/>
          <w:sz w:val="18"/>
        </w:rPr>
        <w:t xml:space="preserve">Bursik, J., John, J. M., Mayer, J., Thiel, A., &amp; Kühnle, F. (2025).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(4), 611–633. https://doi.org/10.1177/10126902241280156</w:t>
      </w:r>
    </w:p>
    <w:p>
      <w:pPr>
        <w:spacing w:before="0" w:after="40" w:lineRule="exact" w:line="210"/>
        <w:ind w:left="340" w:hanging="340"/>
        <w:jc w:val="both"/>
      </w:pPr>
      <w:r>
        <w:rPr>
          <w:rFonts w:ascii="Palatino Linotype" w:hAnsi="Palatino Linotype"/>
          <w:i w:val="0"/>
          <w:sz w:val="18"/>
        </w:rPr>
        <w:t xml:space="preserve">Button, K. S., Ioannidis, J. P. A., Mokrysz, C., Nosek, B. A., Flint, J., Robinson, E. S. J., &amp; Munafò, M. R. (2013). Power failure: why small sample size undermines the reliability of neuroscience. </w:t>
      </w:r>
      <w:r>
        <w:rPr>
          <w:rFonts w:ascii="Palatino Linotype" w:hAnsi="Palatino Linotype"/>
          <w:i/>
          <w:sz w:val="18"/>
        </w:rPr>
        <w:t>Nature Reviews Neuroscience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(5), 365–376. https://doi.org/10.1038/nrn3475</w:t>
      </w:r>
    </w:p>
    <w:p>
      <w:pPr>
        <w:spacing w:before="0" w:after="40" w:lineRule="exact" w:line="210"/>
        <w:ind w:left="340" w:hanging="340"/>
        <w:jc w:val="both"/>
      </w:pPr>
      <w:r>
        <w:rPr>
          <w:rFonts w:ascii="Palatino Linotype" w:hAnsi="Palatino Linotype"/>
          <w:i w:val="0"/>
          <w:sz w:val="18"/>
        </w:rPr>
        <w:t xml:space="preserve">Bühlmayer, L., Birrer, D., Röthlin, P., Faude, O., &amp; Donath, L. (2017). Effects of Mindfulness Practice on Performance-Relevant Parameters and Performance Outcomes in Sports: A Meta-Analytical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(11), 2309–2321. https://doi.org/10.1007/s40279-017-0752-9</w:t>
      </w:r>
    </w:p>
    <w:p>
      <w:pPr>
        <w:spacing w:before="0" w:after="40" w:lineRule="exact" w:line="210"/>
        <w:ind w:left="340" w:hanging="340"/>
        <w:jc w:val="both"/>
      </w:pPr>
      <w:r>
        <w:rPr>
          <w:rFonts w:ascii="Palatino Linotype" w:hAnsi="Palatino Linotype"/>
          <w:i w:val="0"/>
          <w:sz w:val="18"/>
        </w:rPr>
        <w:t xml:space="preserve">Bühren, C., &amp; Gabriel, M. (2023).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185–203. https://doi.org/10.1515/jqas-2022-0070</w:t>
      </w:r>
    </w:p>
    <w:p>
      <w:pPr>
        <w:spacing w:before="0" w:after="40" w:lineRule="exact" w:line="210"/>
        <w:ind w:left="340" w:hanging="340"/>
        <w:jc w:val="both"/>
      </w:pPr>
      <w:r>
        <w:rPr>
          <w:rFonts w:ascii="Palatino Linotype" w:hAnsi="Palatino Linotype"/>
          <w:i w:val="0"/>
          <w:sz w:val="18"/>
        </w:rPr>
        <w:t xml:space="preserve">Bühren, C., &amp; Träger, L. (2022).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(1), 3–38. https://doi.org/10.1177/15270025211027120</w:t>
      </w:r>
    </w:p>
    <w:p>
      <w:pPr>
        <w:spacing w:before="0" w:after="40" w:lineRule="exact" w:line="210"/>
        <w:ind w:left="340" w:hanging="340"/>
        <w:jc w:val="both"/>
      </w:pPr>
      <w:r>
        <w:rPr>
          <w:rFonts w:ascii="Palatino Linotype" w:hAnsi="Palatino Linotype"/>
          <w:i w:val="0"/>
          <w:sz w:val="18"/>
        </w:rPr>
        <w:t xml:space="preserve">Callon, M., Courtial, J. P., &amp; Laville, F. (1991). Co-word analysis as a tool for describing the network of interactions between basic and technological research: The case of polymer chemsitry. </w:t>
      </w:r>
      <w:r>
        <w:rPr>
          <w:rFonts w:ascii="Palatino Linotype" w:hAnsi="Palatino Linotype"/>
          <w:i/>
          <w:sz w:val="18"/>
        </w:rPr>
        <w:t>Scientometrics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 155–205. https://doi.org/10.1007/bf02019280</w:t>
      </w:r>
    </w:p>
    <w:p>
      <w:pPr>
        <w:spacing w:before="0" w:after="40" w:lineRule="exact" w:line="210"/>
        <w:ind w:left="340" w:hanging="340"/>
        <w:jc w:val="both"/>
      </w:pPr>
      <w:r>
        <w:rPr>
          <w:rFonts w:ascii="Palatino Linotype" w:hAnsi="Palatino Linotype"/>
          <w:i w:val="0"/>
          <w:sz w:val="18"/>
        </w:rPr>
        <w:t xml:space="preserve">Campbell, M. K., Piaggio, G., Elbourne, D. R., &amp; Altman, D. G. (2012).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(sep04 1), e5661–e5661. https://doi.org/10.1136/bmj.e5661</w:t>
      </w:r>
    </w:p>
    <w:p>
      <w:pPr>
        <w:spacing w:before="0" w:after="40" w:lineRule="exact" w:line="210"/>
        <w:ind w:left="340" w:hanging="340"/>
        <w:jc w:val="both"/>
      </w:pPr>
      <w:r>
        <w:rPr>
          <w:rFonts w:ascii="Palatino Linotype" w:hAnsi="Palatino Linotype"/>
          <w:i w:val="0"/>
          <w:sz w:val="18"/>
        </w:rPr>
        <w:t xml:space="preserve">Carraça, B., &amp; Magalhães, C. (2025).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40" w:lineRule="exact" w:line="210"/>
        <w:ind w:left="340" w:hanging="340"/>
        <w:jc w:val="both"/>
      </w:pPr>
      <w:r>
        <w:rPr>
          <w:rFonts w:ascii="Palatino Linotype" w:hAnsi="Palatino Linotype"/>
          <w:i w:val="0"/>
          <w:sz w:val="18"/>
        </w:rPr>
        <w:t xml:space="preserve">Chalmers, I., &amp; Glasziou, P. (2009).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(9683), 86–89. https://doi.org/10.1016/S0140-6736(09)60329-9</w:t>
      </w:r>
    </w:p>
    <w:p>
      <w:pPr>
        <w:spacing w:before="0" w:after="40" w:lineRule="exact" w:line="210"/>
        <w:ind w:left="340" w:hanging="340"/>
        <w:jc w:val="both"/>
      </w:pPr>
      <w:r>
        <w:rPr>
          <w:rFonts w:ascii="Palatino Linotype" w:hAnsi="Palatino Linotype"/>
          <w:i w:val="0"/>
          <w:sz w:val="18"/>
        </w:rPr>
        <w:t xml:space="preserve">Cocić, D., Vaci, N., Prieger, R., &amp; Bilalić, M. (2021).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(4), 483–498. https://doi.org/10.1080/00222895.2020.1802216</w:t>
      </w:r>
    </w:p>
    <w:p>
      <w:pPr>
        <w:spacing w:before="0" w:after="40" w:lineRule="exact" w:line="210"/>
        <w:ind w:left="340" w:hanging="340"/>
        <w:jc w:val="both"/>
      </w:pPr>
      <w:r>
        <w:rPr>
          <w:rFonts w:ascii="Palatino Linotype" w:hAnsi="Palatino Linotype"/>
          <w:i w:val="0"/>
          <w:sz w:val="18"/>
        </w:rPr>
        <w:t xml:space="preserve">Cohen, J. (1960).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37–46. https://doi.org/10.1177/001316446002000104</w:t>
      </w:r>
    </w:p>
    <w:p>
      <w:pPr>
        <w:spacing w:before="0" w:after="40" w:lineRule="exact" w:line="210"/>
        <w:ind w:left="340" w:hanging="340"/>
        <w:jc w:val="both"/>
      </w:pPr>
      <w:r>
        <w:rPr>
          <w:rFonts w:ascii="Palatino Linotype" w:hAnsi="Palatino Linotype"/>
          <w:i w:val="0"/>
          <w:sz w:val="18"/>
        </w:rPr>
        <w:t xml:space="preserve">Deci, E. L., &amp; Ryan, R. M. (2000).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227–268. https://doi.org/10.1207/s15327965pli1104_01</w:t>
      </w:r>
    </w:p>
    <w:p>
      <w:pPr>
        <w:spacing w:before="0" w:after="40" w:lineRule="exact" w:line="210"/>
        <w:ind w:left="340" w:hanging="340"/>
        <w:jc w:val="both"/>
      </w:pPr>
      <w:r>
        <w:rPr>
          <w:rFonts w:ascii="Palatino Linotype" w:hAnsi="Palatino Linotype"/>
          <w:i w:val="0"/>
          <w:sz w:val="18"/>
        </w:rPr>
        <w:t xml:space="preserve">Dominski, F. H., Lorenzetti Branco, J. H., Buonanno, G., Stabile, L., Gameiro da Silva, M., &amp; Andrade, A. (2021). Effects of air pollution on health: A mapping review of systematic reviews and meta-analyses. </w:t>
      </w:r>
      <w:r>
        <w:rPr>
          <w:rFonts w:ascii="Palatino Linotype" w:hAnsi="Palatino Linotype"/>
          <w:i/>
          <w:sz w:val="18"/>
        </w:rPr>
        <w:t>Environmental Research</w:t>
      </w:r>
      <w:r>
        <w:rPr>
          <w:rFonts w:ascii="Palatino Linotype" w:hAnsi="Palatino Linotype"/>
          <w:i w:val="0"/>
          <w:sz w:val="18"/>
        </w:rPr>
        <w:t xml:space="preserve">, </w:t>
      </w:r>
      <w:r>
        <w:rPr>
          <w:rFonts w:ascii="Palatino Linotype" w:hAnsi="Palatino Linotype"/>
          <w:i/>
          <w:sz w:val="18"/>
        </w:rPr>
        <w:t>201</w:t>
      </w:r>
      <w:r>
        <w:rPr>
          <w:rFonts w:ascii="Palatino Linotype" w:hAnsi="Palatino Linotype"/>
          <w:i w:val="0"/>
          <w:sz w:val="18"/>
        </w:rPr>
        <w:t>, 111487. https://doi.org/10.1016/j.envres.2021.111487</w:t>
      </w:r>
    </w:p>
    <w:p>
      <w:pPr>
        <w:spacing w:before="0" w:after="40" w:lineRule="exact" w:line="210"/>
        <w:ind w:left="340" w:hanging="340"/>
        <w:jc w:val="both"/>
      </w:pPr>
      <w:r>
        <w:rPr>
          <w:rFonts w:ascii="Palatino Linotype" w:hAnsi="Palatino Linotype"/>
          <w:i w:val="0"/>
          <w:sz w:val="18"/>
        </w:rPr>
        <w:t xml:space="preserve">Drole, K., Doupona, M., Steffen, K., Jerin, A., &amp; Paravlic, A. (2025a). Associations between subjective and objective measures of stress and load: an insight from 45-week prospective study in 189 elite athletes.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40" w:lineRule="exact" w:line="210"/>
        <w:ind w:left="340" w:hanging="340"/>
        <w:jc w:val="both"/>
      </w:pPr>
      <w:r>
        <w:rPr>
          <w:rFonts w:ascii="Palatino Linotype" w:hAnsi="Palatino Linotype"/>
          <w:i w:val="0"/>
          <w:sz w:val="18"/>
        </w:rPr>
        <w:t xml:space="preserve">Drole, K., Paravlic, A., Steffen, K., &amp; Doupona, M. (2025b). Physical, psychosocial and dual-career loads as risk factors for injuries and illnesses in elite handball players: a 45-week prospective cohort study.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40" w:lineRule="exact" w:line="210"/>
        <w:ind w:left="340" w:hanging="340"/>
        <w:jc w:val="both"/>
      </w:pPr>
      <w:r>
        <w:rPr>
          <w:rFonts w:ascii="Palatino Linotype" w:hAnsi="Palatino Linotype"/>
          <w:i w:val="0"/>
          <w:sz w:val="18"/>
        </w:rPr>
        <w:t xml:space="preserve">EBSE-RG. (2009). </w:t>
      </w:r>
      <w:r>
        <w:rPr>
          <w:rFonts w:ascii="Palatino Linotype" w:hAnsi="Palatino Linotype"/>
          <w:i/>
          <w:sz w:val="18"/>
        </w:rPr>
        <w:t>Template for a mapping study protocol</w:t>
      </w:r>
      <w:r>
        <w:rPr>
          <w:rFonts w:ascii="Palatino Linotype" w:hAnsi="Palatino Linotype"/>
          <w:i w:val="0"/>
          <w:sz w:val="18"/>
        </w:rPr>
        <w:t>. Durham University. http://community.dur.ac.uk/ebse/resources/templates/MappingStudyTemplate.pdf</w:t>
      </w:r>
    </w:p>
    <w:p>
      <w:pPr>
        <w:spacing w:before="0" w:after="40" w:lineRule="exact" w:line="210"/>
        <w:ind w:left="340" w:hanging="340"/>
        <w:jc w:val="both"/>
      </w:pPr>
      <w:r>
        <w:rPr>
          <w:rFonts w:ascii="Palatino Linotype" w:hAnsi="Palatino Linotype"/>
          <w:i w:val="0"/>
          <w:sz w:val="18"/>
        </w:rPr>
        <w:t xml:space="preserve">Ely, F. O., O., J., &amp; Munroe-Chandler, K. J. (2021).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(2), 101–113. https://doi.org/10.1080/21520704.2020.1798573</w:t>
      </w:r>
    </w:p>
    <w:p>
      <w:pPr>
        <w:spacing w:before="0" w:after="40" w:lineRule="exact" w:line="210"/>
        <w:ind w:left="340" w:hanging="340"/>
        <w:jc w:val="both"/>
      </w:pPr>
      <w:r>
        <w:rPr>
          <w:rFonts w:ascii="Palatino Linotype" w:hAnsi="Palatino Linotype"/>
          <w:i w:val="0"/>
          <w:sz w:val="18"/>
        </w:rPr>
        <w:t xml:space="preserve">Essid, S., Cherif, M., Chtourou, H., &amp; Souissi, N. (2022).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(8), 1261–1272. https://doi.org/10.1080/09291016.2021.1922212</w:t>
      </w:r>
    </w:p>
    <w:p>
      <w:pPr>
        <w:spacing w:before="0" w:after="40" w:lineRule="exact" w:line="210"/>
        <w:ind w:left="340" w:hanging="340"/>
        <w:jc w:val="both"/>
      </w:pPr>
      <w:r>
        <w:rPr>
          <w:rFonts w:ascii="Palatino Linotype" w:hAnsi="Palatino Linotype"/>
          <w:i w:val="0"/>
          <w:sz w:val="18"/>
        </w:rPr>
        <w:t xml:space="preserve">Fasold, F., Braun, A., &amp; Klatt, S. (2023). Effects of Arm Dominance and Decision Demands on Change of Direction Performance in Handball Players.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85</w:t>
      </w:r>
      <w:r>
        <w:rPr>
          <w:rFonts w:ascii="Palatino Linotype" w:hAnsi="Palatino Linotype"/>
          <w:i w:val="0"/>
          <w:sz w:val="18"/>
        </w:rPr>
        <w:t>(1), 127–135. https://doi.org/10.2478/hukin-2022-0116</w:t>
      </w:r>
    </w:p>
    <w:p>
      <w:pPr>
        <w:spacing w:before="0" w:after="40" w:lineRule="exact" w:line="210"/>
        <w:ind w:left="340" w:hanging="340"/>
        <w:jc w:val="both"/>
      </w:pPr>
      <w:r>
        <w:rPr>
          <w:rFonts w:ascii="Palatino Linotype" w:hAnsi="Palatino Linotype"/>
          <w:i w:val="0"/>
          <w:sz w:val="18"/>
        </w:rPr>
        <w:t xml:space="preserve">Fernández-Sotos, P., Torio, I., Fernández-Caballero, A., Navarro, E., González, P., Dompablo, M., &amp; Rodriguez-Jimenez, R. (2019).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(6), e0218720. https://doi.org/10.1371/journal.pone.0218720</w:t>
      </w:r>
    </w:p>
    <w:p>
      <w:pPr>
        <w:spacing w:before="0" w:after="40" w:lineRule="exact" w:line="210"/>
        <w:ind w:left="340" w:hanging="340"/>
        <w:jc w:val="both"/>
      </w:pPr>
      <w:r>
        <w:rPr>
          <w:rFonts w:ascii="Palatino Linotype" w:hAnsi="Palatino Linotype"/>
          <w:i w:val="0"/>
          <w:sz w:val="18"/>
        </w:rPr>
        <w:t xml:space="preserve">Flake, J. K., &amp; Fried, E. I. (2020).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(4), 456–465. https://doi.org/10.1177/2515245920952393</w:t>
      </w:r>
    </w:p>
    <w:p>
      <w:pPr>
        <w:spacing w:before="0" w:after="40" w:lineRule="exact" w:line="210"/>
        <w:ind w:left="340" w:hanging="340"/>
        <w:jc w:val="both"/>
      </w:pPr>
      <w:r>
        <w:rPr>
          <w:rFonts w:ascii="Palatino Linotype" w:hAnsi="Palatino Linotype"/>
          <w:i w:val="0"/>
          <w:sz w:val="18"/>
        </w:rPr>
        <w:t xml:space="preserve">Fleureau, A., Rabita, G., Leduc, C., Buchheit, M., &amp; Lacome, M. (2023).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(2), 432–438. https://doi.org/10.1519/jsc.0000000000004247</w:t>
      </w:r>
    </w:p>
    <w:p>
      <w:pPr>
        <w:spacing w:before="0" w:after="40" w:lineRule="exact" w:line="210"/>
        <w:ind w:left="340" w:hanging="340"/>
        <w:jc w:val="both"/>
      </w:pPr>
      <w:r>
        <w:rPr>
          <w:rFonts w:ascii="Palatino Linotype" w:hAnsi="Palatino Linotype"/>
          <w:i w:val="0"/>
          <w:sz w:val="18"/>
        </w:rPr>
        <w:t xml:space="preserve">Font, R., Ortega-Becerra, M., Tremps, V., Vicente, A., Merayo, A., &amp; Mallol, M. (2025). Analysis of sleep quality and quantity during a half-season in world-class handball players.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(3), 247–255. https://doi.org/10.5114/biolsport.2025.148578</w:t>
      </w:r>
    </w:p>
    <w:p>
      <w:pPr>
        <w:spacing w:before="0" w:after="40" w:lineRule="exact" w:line="210"/>
        <w:ind w:left="340" w:hanging="340"/>
        <w:jc w:val="both"/>
      </w:pPr>
      <w:r>
        <w:rPr>
          <w:rFonts w:ascii="Palatino Linotype" w:hAnsi="Palatino Linotype"/>
          <w:i w:val="0"/>
          <w:sz w:val="18"/>
        </w:rPr>
        <w:t xml:space="preserve">Freire, G. L. M., Contreira, A. R., De Moraes, J. F. V. N., De Oliveira, D. V., Fiorese, L., &amp; Do Nascimento Junior, J. R. A. (2022). Coach-athlete relationship, team cohesion and motivation in Brazilian youth athletes: a cluster analysis. </w:t>
      </w:r>
      <w:r>
        <w:rPr>
          <w:rFonts w:ascii="Palatino Linotype" w:hAnsi="Palatino Linotype"/>
          <w:i/>
          <w:sz w:val="18"/>
        </w:rPr>
        <w:t>Human Movement</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(3), 44–53. https://doi.org/10.5114/hm.2023.116531</w:t>
      </w:r>
    </w:p>
    <w:p>
      <w:pPr>
        <w:spacing w:before="0" w:after="40" w:lineRule="exact" w:line="210"/>
        <w:ind w:left="340" w:hanging="340"/>
        <w:jc w:val="both"/>
      </w:pPr>
      <w:r>
        <w:rPr>
          <w:rFonts w:ascii="Palatino Linotype" w:hAnsi="Palatino Linotype"/>
          <w:i w:val="0"/>
          <w:sz w:val="18"/>
        </w:rPr>
        <w:t xml:space="preserve">García-Herrero, J. A., Soto-García, D., Carcedo, R. J., Martínez-Martín, I., &amp; Delgado-Floody, P. (2022). Analysis of the Relationship between Satisfaction with the Coach and the Effect of Comparative Social Feedback in Elite Female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(13), 7680. https://doi.org/10.3390/ijerph19137680</w:t>
      </w:r>
    </w:p>
    <w:p>
      <w:pPr>
        <w:spacing w:before="0" w:after="40" w:lineRule="exact" w:line="210"/>
        <w:ind w:left="340" w:hanging="340"/>
        <w:jc w:val="both"/>
      </w:pPr>
      <w:r>
        <w:rPr>
          <w:rFonts w:ascii="Palatino Linotype" w:hAnsi="Palatino Linotype"/>
          <w:i w:val="0"/>
          <w:sz w:val="18"/>
        </w:rPr>
        <w:t xml:space="preserve">García-Sánchez, C., Nieto-Acevedo, R., Lorenzo-Calvo, J., Marquina Nieto, M., Navarro, R. M., &amp; de la Rubia, A. (2025).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1228. https://doi.org/10.3390/app15031228</w:t>
      </w:r>
    </w:p>
    <w:p>
      <w:pPr>
        <w:spacing w:before="0" w:after="40" w:lineRule="exact" w:line="210"/>
        <w:ind w:left="340" w:hanging="340"/>
        <w:jc w:val="both"/>
      </w:pPr>
      <w:r>
        <w:rPr>
          <w:rFonts w:ascii="Palatino Linotype" w:hAnsi="Palatino Linotype"/>
          <w:i w:val="0"/>
          <w:sz w:val="18"/>
        </w:rPr>
        <w:t xml:space="preserve">Garwood, F. (1936). (i) Fiducial Limits for the Poisson Distribution. </w:t>
      </w:r>
      <w:r>
        <w:rPr>
          <w:rFonts w:ascii="Palatino Linotype" w:hAnsi="Palatino Linotype"/>
          <w:i/>
          <w:sz w:val="18"/>
        </w:rPr>
        <w:t>Biometrika</w:t>
      </w:r>
      <w:r>
        <w:rPr>
          <w:rFonts w:ascii="Palatino Linotype" w:hAnsi="Palatino Linotype"/>
          <w:i w:val="0"/>
          <w:sz w:val="18"/>
        </w:rPr>
        <w:t xml:space="preserve">, </w:t>
      </w:r>
      <w:r>
        <w:rPr>
          <w:rFonts w:ascii="Palatino Linotype" w:hAnsi="Palatino Linotype"/>
          <w:i/>
          <w:sz w:val="18"/>
        </w:rPr>
        <w:t>28</w:t>
      </w:r>
      <w:r>
        <w:rPr>
          <w:rFonts w:ascii="Palatino Linotype" w:hAnsi="Palatino Linotype"/>
          <w:i w:val="0"/>
          <w:sz w:val="18"/>
        </w:rPr>
        <w:t>(3-4), 437–442. https://doi.org/10.1093/biomet/28.3-4.437</w:t>
      </w:r>
    </w:p>
    <w:p>
      <w:pPr>
        <w:spacing w:before="0" w:after="40" w:lineRule="exact" w:line="210"/>
        <w:ind w:left="340" w:hanging="340"/>
        <w:jc w:val="both"/>
      </w:pPr>
      <w:r>
        <w:rPr>
          <w:rFonts w:ascii="Palatino Linotype" w:hAnsi="Palatino Linotype"/>
          <w:i w:val="0"/>
          <w:sz w:val="18"/>
        </w:rPr>
        <w:t xml:space="preserve">González-Hernández, J., da Silva, C. M., Monteiro, D., Alesi, M., &amp; Gómez-López, M. (2021). Effects of Commitment on Fear of Failure and Burnout in Teen Spanish Handball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40" w:lineRule="exact" w:line="210"/>
        <w:ind w:left="340" w:hanging="340"/>
        <w:jc w:val="both"/>
      </w:pPr>
      <w:r>
        <w:rPr>
          <w:rFonts w:ascii="Palatino Linotype" w:hAnsi="Palatino Linotype"/>
          <w:i w:val="0"/>
          <w:sz w:val="18"/>
        </w:rPr>
        <w:t xml:space="preserve">Gouttebarge, V., Bilgoe, S. C., Gorczynski, P., Hitchcock, M. E., Putukian, M., Reardon, C. L., &amp; Kerkhoffs, G. (2026).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(7), 296. https://doi.org/10.3390/sports14070296</w:t>
      </w:r>
    </w:p>
    <w:p>
      <w:pPr>
        <w:spacing w:before="0" w:after="40" w:lineRule="exact" w:line="210"/>
        <w:ind w:left="340" w:hanging="340"/>
        <w:jc w:val="both"/>
      </w:pPr>
      <w:r>
        <w:rPr>
          <w:rFonts w:ascii="Palatino Linotype" w:hAnsi="Palatino Linotype"/>
          <w:i w:val="0"/>
          <w:sz w:val="18"/>
        </w:rPr>
        <w:t xml:space="preserve">Gouttebarge, V., Castaldelli-Maia, J. M., Gorczynski, P., Hainline, B., Hitchcock, M. E., Kerkhoffs, G. M., Rice, S. M., &amp; Reardon, C. L. (2019). Occurrence of mental health symptoms and disorders in current and former elite athletes: a systematic review and meta-analysis.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700–706. https://doi.org/10.1136/bjsports-2019-100671</w:t>
      </w:r>
    </w:p>
    <w:p>
      <w:pPr>
        <w:spacing w:before="0" w:after="40" w:lineRule="exact" w:line="210"/>
        <w:ind w:left="340" w:hanging="340"/>
        <w:jc w:val="both"/>
      </w:pPr>
      <w:r>
        <w:rPr>
          <w:rFonts w:ascii="Palatino Linotype" w:hAnsi="Palatino Linotype"/>
          <w:i w:val="0"/>
          <w:sz w:val="18"/>
        </w:rPr>
        <w:t xml:space="preserve">Graja, A., Ghattassi, K., Boudhina, N., Bouzid, M. A., Chahed, H., Ferchichi, S., Driss, T., Souissi, N., &amp; Hammouda, O. (2021).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40" w:lineRule="exact" w:line="210"/>
        <w:ind w:left="340" w:hanging="340"/>
        <w:jc w:val="both"/>
      </w:pPr>
      <w:r>
        <w:rPr>
          <w:rFonts w:ascii="Palatino Linotype" w:hAnsi="Palatino Linotype"/>
          <w:i w:val="0"/>
          <w:sz w:val="18"/>
        </w:rPr>
        <w:t xml:space="preserve">Greblo Jurakić, Z., Bojić-Ćaćić, L., &amp; Ljubičić, V. (2026). The relationship between perceived motivational climate and psychological well-being among adolescent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40" w:lineRule="exact" w:line="210"/>
        <w:ind w:left="340" w:hanging="340"/>
        <w:jc w:val="both"/>
      </w:pPr>
      <w:r>
        <w:rPr>
          <w:rFonts w:ascii="Palatino Linotype" w:hAnsi="Palatino Linotype"/>
          <w:i w:val="0"/>
          <w:sz w:val="18"/>
        </w:rPr>
        <w:t xml:space="preserve">Guignard, B., Karcher, C., Reche, X., Font, R., &amp; Komar, J. (2022).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 5692. https://doi.org/10.3390/s22155692</w:t>
      </w:r>
    </w:p>
    <w:p>
      <w:pPr>
        <w:spacing w:before="0" w:after="40" w:lineRule="exact" w:line="210"/>
        <w:ind w:left="340" w:hanging="340"/>
        <w:jc w:val="both"/>
      </w:pPr>
      <w:r>
        <w:rPr>
          <w:rFonts w:ascii="Palatino Linotype" w:hAnsi="Palatino Linotype"/>
          <w:i w:val="0"/>
          <w:sz w:val="18"/>
        </w:rPr>
        <w:t xml:space="preserve">Guyatt, G. H., Oxman, A. D., Vist, G. E., Kunz, R., Falck-Ytter, Y., Alonso-Coello, P., &amp; Schünemann, H. J. (2008).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(7650), 924–926. https://doi.org/10.1136/bmj.39489.470347.AD</w:t>
      </w:r>
    </w:p>
    <w:p>
      <w:pPr>
        <w:spacing w:before="0" w:after="40" w:lineRule="exact" w:line="210"/>
        <w:ind w:left="340" w:hanging="340"/>
        <w:jc w:val="both"/>
      </w:pPr>
      <w:r>
        <w:rPr>
          <w:rFonts w:ascii="Palatino Linotype" w:hAnsi="Palatino Linotype"/>
          <w:i w:val="0"/>
          <w:sz w:val="18"/>
        </w:rPr>
        <w:t xml:space="preserve">Gómez-López, M., Courel-Ibáñez, J., &amp; Granero-Gallegos, A. (2021).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(3), 658–669. https://doi.org/10.1177/1747954120975107</w:t>
      </w:r>
    </w:p>
    <w:p>
      <w:pPr>
        <w:spacing w:before="0" w:after="40" w:lineRule="exact" w:line="210"/>
        <w:ind w:left="340" w:hanging="340"/>
        <w:jc w:val="both"/>
      </w:pPr>
      <w:r>
        <w:rPr>
          <w:rFonts w:ascii="Palatino Linotype" w:hAnsi="Palatino Linotype"/>
          <w:i w:val="0"/>
          <w:sz w:val="18"/>
        </w:rPr>
        <w:t xml:space="preserve">Gómez-López, M., Valero-Valenzuela, A., Manzano-Sánchez, D., &amp; González-Hernández, J. (2024).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933–943. https://doi.org/10.1177/17479541231223652</w:t>
      </w:r>
    </w:p>
    <w:p>
      <w:pPr>
        <w:spacing w:before="0" w:after="40" w:lineRule="exact" w:line="210"/>
        <w:ind w:left="340" w:hanging="340"/>
        <w:jc w:val="both"/>
      </w:pPr>
      <w:r>
        <w:rPr>
          <w:rFonts w:ascii="Palatino Linotype" w:hAnsi="Palatino Linotype"/>
          <w:i w:val="0"/>
          <w:sz w:val="18"/>
        </w:rPr>
        <w:t xml:space="preserve">Gümüş, H., &amp; Gençoğlu, C. (2020).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(3), 113–121. https://doi.org/10.5507/ag.2020.015</w:t>
      </w:r>
    </w:p>
    <w:p>
      <w:pPr>
        <w:spacing w:before="0" w:after="40" w:lineRule="exact" w:line="210"/>
        <w:ind w:left="340" w:hanging="340"/>
        <w:jc w:val="both"/>
      </w:pPr>
      <w:r>
        <w:rPr>
          <w:rFonts w:ascii="Palatino Linotype" w:hAnsi="Palatino Linotype"/>
          <w:i w:val="0"/>
          <w:sz w:val="18"/>
        </w:rPr>
        <w:t xml:space="preserve">Hagger, M. S., &amp; Hamilton, K. (2025).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96–119. https://doi.org/10.1037/spy0000352</w:t>
      </w:r>
    </w:p>
    <w:p>
      <w:pPr>
        <w:spacing w:before="0" w:after="40" w:lineRule="exact" w:line="210"/>
        <w:ind w:left="340" w:hanging="340"/>
        <w:jc w:val="both"/>
      </w:pPr>
      <w:r>
        <w:rPr>
          <w:rFonts w:ascii="Palatino Linotype" w:hAnsi="Palatino Linotype"/>
          <w:i w:val="0"/>
          <w:sz w:val="18"/>
        </w:rPr>
        <w:t xml:space="preserve">Hasan, M. M., Mosleh, O. A., &amp; Hammad, F. (2019).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(12), 1375. https://doi.org/10.37506/v10/i12/2019/ijphrd/192563</w:t>
      </w:r>
    </w:p>
    <w:p>
      <w:pPr>
        <w:spacing w:before="0" w:after="40" w:lineRule="exact" w:line="210"/>
        <w:ind w:left="340" w:hanging="340"/>
        <w:jc w:val="both"/>
      </w:pPr>
      <w:r>
        <w:rPr>
          <w:rFonts w:ascii="Palatino Linotype" w:hAnsi="Palatino Linotype"/>
          <w:i w:val="0"/>
          <w:sz w:val="18"/>
        </w:rPr>
        <w:t xml:space="preserve">Hatzigeorgiadis, A., Zourbanos, N., Galanis, E., &amp; Theodorakis, Y. (2011). Self-Talk and Sports Performance. </w:t>
      </w:r>
      <w:r>
        <w:rPr>
          <w:rFonts w:ascii="Palatino Linotype" w:hAnsi="Palatino Linotype"/>
          <w:i/>
          <w:sz w:val="18"/>
        </w:rPr>
        <w:t>Perspectives on Psychological Science</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(4), 348–356. https://doi.org/10.1177/1745691611413136</w:t>
      </w:r>
    </w:p>
    <w:p>
      <w:pPr>
        <w:spacing w:before="0" w:after="40" w:lineRule="exact" w:line="210"/>
        <w:ind w:left="340" w:hanging="340"/>
        <w:jc w:val="both"/>
      </w:pPr>
      <w:r>
        <w:rPr>
          <w:rFonts w:ascii="Palatino Linotype" w:hAnsi="Palatino Linotype"/>
          <w:i w:val="0"/>
          <w:sz w:val="18"/>
        </w:rPr>
        <w:t xml:space="preserve">Henriksen, K., Schinke, R., Moesch, K., McCann, S., Parham, W. D., Larsen, C. H., &amp; Terry, P. (2020).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553–560. https://doi.org/10.1080/1612197X.2019.1570473</w:t>
      </w:r>
    </w:p>
    <w:p>
      <w:pPr>
        <w:spacing w:before="0" w:after="40" w:lineRule="exact" w:line="210"/>
        <w:ind w:left="340" w:hanging="340"/>
        <w:jc w:val="both"/>
      </w:pPr>
      <w:r>
        <w:rPr>
          <w:rFonts w:ascii="Palatino Linotype" w:hAnsi="Palatino Linotype"/>
          <w:i w:val="0"/>
          <w:sz w:val="18"/>
        </w:rPr>
        <w:t xml:space="preserve">Henze, A. S., Matits, L., Huth, J., &amp; Mauch, F. (2024).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(4), 393–399. https://doi.org/10.1123/ijspp.2023-0482</w:t>
      </w:r>
    </w:p>
    <w:p>
      <w:pPr>
        <w:spacing w:before="0" w:after="40" w:lineRule="exact" w:line="210"/>
        <w:ind w:left="340" w:hanging="340"/>
        <w:jc w:val="both"/>
      </w:pPr>
      <w:r>
        <w:rPr>
          <w:rFonts w:ascii="Palatino Linotype" w:hAnsi="Palatino Linotype"/>
          <w:i w:val="0"/>
          <w:sz w:val="18"/>
        </w:rPr>
        <w:t xml:space="preserve">Henze, A. S., Matits, L., Schwenkreis, F., Sieger, D., Degenhardt, H., Neumann, M., Schulz, S. V. W., &amp; Kirsten, J. (2026).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384–391. https://doi.org/10.1123/ijspp.2025-0341</w:t>
      </w:r>
    </w:p>
    <w:p>
      <w:pPr>
        <w:spacing w:before="0" w:after="40" w:lineRule="exact" w:line="210"/>
        <w:ind w:left="340" w:hanging="340"/>
        <w:jc w:val="both"/>
      </w:pPr>
      <w:r>
        <w:rPr>
          <w:rFonts w:ascii="Palatino Linotype" w:hAnsi="Palatino Linotype"/>
          <w:i w:val="0"/>
          <w:sz w:val="18"/>
        </w:rPr>
        <w:t xml:space="preserve">Higgins, J. P. T., Thomas, J., Chandler, J., Cumpston, M., Li, T., Page, M. J., &amp; Welch, V. A. (Eds.). (2019). </w:t>
      </w:r>
      <w:r>
        <w:rPr>
          <w:rFonts w:ascii="Palatino Linotype" w:hAnsi="Palatino Linotype"/>
          <w:i/>
          <w:sz w:val="18"/>
        </w:rPr>
        <w:t>Cochrane handbook for systematic reviews of interventions</w:t>
      </w:r>
      <w:r>
        <w:rPr>
          <w:rFonts w:ascii="Palatino Linotype" w:hAnsi="Palatino Linotype"/>
          <w:i w:val="0"/>
          <w:sz w:val="18"/>
        </w:rPr>
        <w:t>. Wiley. https://doi.org/10.1002/9781119536604</w:t>
      </w:r>
    </w:p>
    <w:p>
      <w:pPr>
        <w:spacing w:before="0" w:after="40" w:lineRule="exact" w:line="210"/>
        <w:ind w:left="340" w:hanging="340"/>
        <w:jc w:val="both"/>
      </w:pPr>
      <w:r>
        <w:rPr>
          <w:rFonts w:ascii="Palatino Linotype" w:hAnsi="Palatino Linotype"/>
          <w:i w:val="0"/>
          <w:sz w:val="18"/>
        </w:rPr>
        <w:t xml:space="preserve">Hinz, M., Lehmann, N., Aye, N., Melcher, K., Tolentino-Castro, J. W., Wagner, H., &amp; Taubert, M. (2022). Differences in Decision-Making Behavior Between Elite and Amateur Team-Handball Players in a Near-Game Test Situation.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40" w:lineRule="exact" w:line="210"/>
        <w:ind w:left="340" w:hanging="340"/>
        <w:jc w:val="both"/>
      </w:pPr>
      <w:r>
        <w:rPr>
          <w:rFonts w:ascii="Palatino Linotype" w:hAnsi="Palatino Linotype"/>
          <w:i w:val="0"/>
          <w:sz w:val="18"/>
        </w:rPr>
        <w:t xml:space="preserve">Hoffmann, T. C., Glasziou, P. P., Boutron, I., Milne, R., Perera, R., Moher, D., Altman, D. G., Barbour, V., Macdonald, H., Johnston, M., Lamb, S. E., Dixon-Woods, M., McCulloch, P., Wyatt, J. C., Chan, A. W., &amp; Michie, S. (2014).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(mar07 3), g1687–g1687. https://doi.org/10.1136/bmj.g1687</w:t>
      </w:r>
    </w:p>
    <w:p>
      <w:pPr>
        <w:spacing w:before="0" w:after="40" w:lineRule="exact" w:line="210"/>
        <w:ind w:left="340" w:hanging="340"/>
        <w:jc w:val="both"/>
      </w:pPr>
      <w:r>
        <w:rPr>
          <w:rFonts w:ascii="Palatino Linotype" w:hAnsi="Palatino Linotype"/>
          <w:i w:val="0"/>
          <w:sz w:val="18"/>
        </w:rPr>
        <w:t xml:space="preserve">Horička, P., Šimonek, J., Paška, Ľ., &amp; Popowczak, M. (2024). The Relationship of Decision-Making Style and Reaction Agility Performance Regarding the Type of Stimulus in Handball.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(01). https://doi.org/10.5817/sts2024-1-20</w:t>
      </w:r>
    </w:p>
    <w:p>
      <w:pPr>
        <w:spacing w:before="0" w:after="40" w:lineRule="exact" w:line="210"/>
        <w:ind w:left="340" w:hanging="340"/>
        <w:jc w:val="both"/>
      </w:pPr>
      <w:r>
        <w:rPr>
          <w:rFonts w:ascii="Palatino Linotype" w:hAnsi="Palatino Linotype"/>
          <w:i w:val="0"/>
          <w:sz w:val="18"/>
        </w:rPr>
        <w:t xml:space="preserve">Hornstrup, T., Wikman, J. M., Fristrup, B., Póvoas, S., Helge, E. W., Nielsen, S. H., Helge, J. W., Andersen, J. L., Nybo, L., &amp; Krustrup, P. (2018).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(2), 139–148. https://doi.org/10.1016/j.jshs.2017.09.007</w:t>
      </w:r>
    </w:p>
    <w:p>
      <w:pPr>
        <w:spacing w:before="0" w:after="40" w:lineRule="exact" w:line="210"/>
        <w:ind w:left="340" w:hanging="340"/>
        <w:jc w:val="both"/>
      </w:pPr>
      <w:r>
        <w:rPr>
          <w:rFonts w:ascii="Palatino Linotype" w:hAnsi="Palatino Linotype"/>
          <w:i w:val="0"/>
          <w:sz w:val="18"/>
        </w:rPr>
        <w:t xml:space="preserve">Huesmann, K., Schorer, J., Büsch, D., Witt, J., &amp; Loffing, F. (2023). Expert goalkeepers’ and coaches’ views on anticipation and cue utilisation facing backcourt throws in handball goalkeeping.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40" w:lineRule="exact" w:line="210"/>
        <w:ind w:left="340" w:hanging="340"/>
        <w:jc w:val="both"/>
      </w:pPr>
      <w:r>
        <w:rPr>
          <w:rFonts w:ascii="Palatino Linotype" w:hAnsi="Palatino Linotype"/>
          <w:i w:val="0"/>
          <w:sz w:val="18"/>
        </w:rPr>
        <w:t xml:space="preserve">Iusepolsky, R., Morgulev, E., &amp; Zach, S. (2022). The “Empty-Goal” Rule Change from the Perspective of International-Level Team Handball Goalkeepers.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(11), 6506. https://doi.org/10.3390/ijerph19116506</w:t>
      </w:r>
    </w:p>
    <w:p>
      <w:pPr>
        <w:spacing w:before="0" w:after="40" w:lineRule="exact" w:line="210"/>
        <w:ind w:left="340" w:hanging="340"/>
        <w:jc w:val="both"/>
      </w:pPr>
      <w:r>
        <w:rPr>
          <w:rFonts w:ascii="Palatino Linotype" w:hAnsi="Palatino Linotype"/>
          <w:i w:val="0"/>
          <w:sz w:val="18"/>
        </w:rPr>
        <w:t xml:space="preserve">Ivarsson, A., Johnson, U., Andersen, M. B., Tranaeus, U., Stenling, A., &amp; Lindwall, M. (2017). Psychosocial Factors and Sport Injuries: Meta-analyses for Prediction and Prevention.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(2), 353–365. https://doi.org/10.1007/s40279-016-0578-x</w:t>
      </w:r>
    </w:p>
    <w:p>
      <w:pPr>
        <w:spacing w:before="0" w:after="40" w:lineRule="exact" w:line="210"/>
        <w:ind w:left="340" w:hanging="340"/>
        <w:jc w:val="both"/>
      </w:pPr>
      <w:r>
        <w:rPr>
          <w:rFonts w:ascii="Palatino Linotype" w:hAnsi="Palatino Linotype"/>
          <w:i w:val="0"/>
          <w:sz w:val="18"/>
        </w:rPr>
        <w:t xml:space="preserve">James, K. L., Randall, N. P., &amp; Haddaway, N. R. (2016). A methodology for systematic mapping in environmental sciences. </w:t>
      </w:r>
      <w:r>
        <w:rPr>
          <w:rFonts w:ascii="Palatino Linotype" w:hAnsi="Palatino Linotype"/>
          <w:i/>
          <w:sz w:val="18"/>
        </w:rPr>
        <w:t>Environmental Evidence</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7. https://doi.org/10.1186/s13750-016-0059-6</w:t>
      </w:r>
    </w:p>
    <w:p>
      <w:pPr>
        <w:spacing w:before="0" w:after="40" w:lineRule="exact" w:line="210"/>
        <w:ind w:left="340" w:hanging="340"/>
        <w:jc w:val="both"/>
      </w:pPr>
      <w:r>
        <w:rPr>
          <w:rFonts w:ascii="Palatino Linotype" w:hAnsi="Palatino Linotype"/>
          <w:i w:val="0"/>
          <w:sz w:val="18"/>
        </w:rPr>
        <w:t xml:space="preserve">Jedziniak, W., Panek, K., Lesiakowski, P., Florkiewicz, B., &amp; Zwierko, T. (2025).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312. https://doi.org/10.3390/brainsci15030312</w:t>
      </w:r>
    </w:p>
    <w:p>
      <w:pPr>
        <w:spacing w:before="0" w:after="40" w:lineRule="exact" w:line="210"/>
        <w:ind w:left="340" w:hanging="340"/>
        <w:jc w:val="both"/>
      </w:pPr>
      <w:r>
        <w:rPr>
          <w:rFonts w:ascii="Palatino Linotype" w:hAnsi="Palatino Linotype"/>
          <w:i w:val="0"/>
          <w:sz w:val="18"/>
        </w:rPr>
        <w:t xml:space="preserve">Jetzke, M., &amp; Winter, C. (2022).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(8), 878–885. https://doi.org/10.1080/02640414.2021.2022860</w:t>
      </w:r>
    </w:p>
    <w:p>
      <w:pPr>
        <w:spacing w:before="0" w:after="40" w:lineRule="exact" w:line="210"/>
        <w:ind w:left="340" w:hanging="340"/>
        <w:jc w:val="both"/>
      </w:pPr>
      <w:r>
        <w:rPr>
          <w:rFonts w:ascii="Palatino Linotype" w:hAnsi="Palatino Linotype"/>
          <w:i w:val="0"/>
          <w:sz w:val="18"/>
        </w:rPr>
        <w:t xml:space="preserve">Ji, T., de Jonge, J., Peeters, M. C. W., &amp; Taris, T. W. (2026). “Take a break!”: the role of off-job detachment in the relation between demands and work performance in elite athletes. </w:t>
      </w:r>
      <w:r>
        <w:rPr>
          <w:rFonts w:ascii="Palatino Linotype" w:hAnsi="Palatino Linotype"/>
          <w:i/>
          <w:sz w:val="18"/>
        </w:rPr>
        <w:t>Humanities and Social Sciences Communications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 222. https://doi.org/10.1057/s41599-026-06541-4</w:t>
      </w:r>
    </w:p>
    <w:p>
      <w:pPr>
        <w:spacing w:before="0" w:after="40" w:lineRule="exact" w:line="210"/>
        <w:ind w:left="340" w:hanging="340"/>
        <w:jc w:val="both"/>
      </w:pPr>
      <w:r>
        <w:rPr>
          <w:rFonts w:ascii="Palatino Linotype" w:hAnsi="Palatino Linotype"/>
          <w:i w:val="0"/>
          <w:sz w:val="18"/>
        </w:rPr>
        <w:t xml:space="preserve">Johnson, J. G., &amp; Raab, M. (2003).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(2), 215–229. https://doi.org/10.1016/s0749-5978(03)00027-x</w:t>
      </w:r>
    </w:p>
    <w:p>
      <w:pPr>
        <w:spacing w:before="0" w:after="40" w:lineRule="exact" w:line="210"/>
        <w:ind w:left="340" w:hanging="340"/>
        <w:jc w:val="both"/>
      </w:pPr>
      <w:r>
        <w:rPr>
          <w:rFonts w:ascii="Palatino Linotype" w:hAnsi="Palatino Linotype"/>
          <w:i w:val="0"/>
          <w:sz w:val="18"/>
        </w:rPr>
        <w:t xml:space="preserve">Jones, G. (1995). More than just a game: Research developments and issues in competitive anxiety in sport. </w:t>
      </w:r>
      <w:r>
        <w:rPr>
          <w:rFonts w:ascii="Palatino Linotype" w:hAnsi="Palatino Linotype"/>
          <w:i/>
          <w:sz w:val="18"/>
        </w:rPr>
        <w:t>British Journal of Psychology</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(4), 449–478. https://doi.org/10.1111/j.2044-8295.1995.tb02565.x</w:t>
      </w:r>
    </w:p>
    <w:p>
      <w:pPr>
        <w:spacing w:before="0" w:after="40" w:lineRule="exact" w:line="210"/>
        <w:ind w:left="340" w:hanging="340"/>
        <w:jc w:val="both"/>
      </w:pPr>
      <w:r>
        <w:rPr>
          <w:rFonts w:ascii="Palatino Linotype" w:hAnsi="Palatino Linotype"/>
          <w:i w:val="0"/>
          <w:sz w:val="18"/>
        </w:rPr>
        <w:t xml:space="preserve">Junior, R., De, D., &amp; Simões, A. C. (1994). Situações de jogo causadoras de “stress” no handebol de alto nível. </w:t>
      </w:r>
      <w:r>
        <w:rPr>
          <w:rFonts w:ascii="Palatino Linotype" w:hAnsi="Palatino Linotype"/>
          <w:i/>
          <w:sz w:val="18"/>
        </w:rPr>
        <w:t>Revista Paulista de Educação Física</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40" w:lineRule="exact" w:line="210"/>
        <w:ind w:left="340" w:hanging="340"/>
        <w:jc w:val="both"/>
      </w:pPr>
      <w:r>
        <w:rPr>
          <w:rFonts w:ascii="Palatino Linotype" w:hAnsi="Palatino Linotype"/>
          <w:i w:val="0"/>
          <w:sz w:val="18"/>
        </w:rPr>
        <w:t xml:space="preserve">Karcher, C., &amp; Buchheit, M. (2014). On-Court Demands of Elite Handball, with Special Reference to Playing Positions.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44</w:t>
      </w:r>
      <w:r>
        <w:rPr>
          <w:rFonts w:ascii="Palatino Linotype" w:hAnsi="Palatino Linotype"/>
          <w:i w:val="0"/>
          <w:sz w:val="18"/>
        </w:rPr>
        <w:t>(6), 797–814. https://doi.org/10.1007/s40279-014-0164-z</w:t>
      </w:r>
    </w:p>
    <w:p>
      <w:pPr>
        <w:spacing w:before="0" w:after="40" w:lineRule="exact" w:line="210"/>
        <w:ind w:left="340" w:hanging="340"/>
        <w:jc w:val="both"/>
      </w:pPr>
      <w:r>
        <w:rPr>
          <w:rFonts w:ascii="Palatino Linotype" w:hAnsi="Palatino Linotype"/>
          <w:i w:val="0"/>
          <w:sz w:val="18"/>
        </w:rPr>
        <w:t xml:space="preserve">Kellmann, M., Bertollo, M., Bosquet, L., Brink, M., Coutts, A. J., Duffield, R., Erlacher, D., Halson, S. L., Hecksteden, A., Heidari, J., Kallus, K. W., Meeusen, R., Mujika, I., Robazza, C., Skorski, S., Venter, R., &amp; Beckmann, J. (2018).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(2), 240–245. https://doi.org/10.1123/ijspp.2017-0759</w:t>
      </w:r>
    </w:p>
    <w:p>
      <w:pPr>
        <w:spacing w:before="0" w:after="40" w:lineRule="exact" w:line="210"/>
        <w:ind w:left="340" w:hanging="340"/>
        <w:jc w:val="both"/>
      </w:pPr>
      <w:r>
        <w:rPr>
          <w:rFonts w:ascii="Palatino Linotype" w:hAnsi="Palatino Linotype"/>
          <w:i w:val="0"/>
          <w:sz w:val="18"/>
        </w:rPr>
        <w:t xml:space="preserve">Kew, M. E., Dave, U., Marmor, W., Olsen, R., Jivanelli, B., Tsai, S. H. L., Kuo, L. T., &amp; Ling, D. I. (2025). Sex Differences in Mental Health Symptoms in Elite Athletes: A Systematic Review and Meta-analysis. </w:t>
      </w:r>
      <w:r>
        <w:rPr>
          <w:rFonts w:ascii="Palatino Linotype" w:hAnsi="Palatino Linotype"/>
          <w:i/>
          <w:sz w:val="18"/>
        </w:rPr>
        <w:t>Sports Health: A Multidisciplinary Approach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(4), 732–743. https://doi.org/10.1177/19417381241264491</w:t>
      </w:r>
    </w:p>
    <w:p>
      <w:pPr>
        <w:spacing w:before="0" w:after="40" w:lineRule="exact" w:line="210"/>
        <w:ind w:left="340" w:hanging="340"/>
        <w:jc w:val="both"/>
      </w:pPr>
      <w:r>
        <w:rPr>
          <w:rFonts w:ascii="Palatino Linotype" w:hAnsi="Palatino Linotype"/>
          <w:i w:val="0"/>
          <w:sz w:val="18"/>
        </w:rPr>
        <w:t xml:space="preserve">Khalil, H., Welch, V., Grainger, M., &amp; Campbell, F. (2025). Methodology for mapping reviews, evidence maps, and gap maps.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(5), 786–796. https://doi.org/10.1017/rsm.2025.25</w:t>
      </w:r>
    </w:p>
    <w:p>
      <w:pPr>
        <w:spacing w:before="0" w:after="40" w:lineRule="exact" w:line="210"/>
        <w:ind w:left="340" w:hanging="340"/>
        <w:jc w:val="both"/>
      </w:pPr>
      <w:r>
        <w:rPr>
          <w:rFonts w:ascii="Palatino Linotype" w:hAnsi="Palatino Linotype"/>
          <w:i w:val="0"/>
          <w:sz w:val="18"/>
        </w:rPr>
        <w:t xml:space="preserve">Khazdozi, G., Bahari, S. M., &amp; Ashayeri, H. (2017). Effects of Warming Up With Music on Moods and Training Motivation among Athletes. </w:t>
      </w:r>
      <w:r>
        <w:rPr>
          <w:rFonts w:ascii="Palatino Linotype" w:hAnsi="Palatino Linotype"/>
          <w:i/>
          <w:sz w:val="18"/>
        </w:rPr>
        <w:t>Revista Administração em Diálogo - RAD</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40" w:lineRule="exact" w:line="210"/>
        <w:ind w:left="340" w:hanging="340"/>
        <w:jc w:val="both"/>
      </w:pPr>
      <w:r>
        <w:rPr>
          <w:rFonts w:ascii="Palatino Linotype" w:hAnsi="Palatino Linotype"/>
          <w:i w:val="0"/>
          <w:sz w:val="18"/>
        </w:rPr>
        <w:t xml:space="preserve">Kim, J., Yook, D., &amp; Han, S. (2026).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128. https://doi.org/10.3390/sports14040128</w:t>
      </w:r>
    </w:p>
    <w:p>
      <w:pPr>
        <w:spacing w:before="0" w:after="40" w:lineRule="exact" w:line="210"/>
        <w:ind w:left="340" w:hanging="340"/>
        <w:jc w:val="both"/>
      </w:pPr>
      <w:r>
        <w:rPr>
          <w:rFonts w:ascii="Palatino Linotype" w:hAnsi="Palatino Linotype"/>
          <w:i w:val="0"/>
          <w:sz w:val="18"/>
        </w:rPr>
        <w:t xml:space="preserve">Kristiansen, E., &amp; Stensrud, T. (2017). Young female handball players and sport specialisation: how do they cope with the transition from primary school into a secondary sport school?.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(1), 58–63. https://doi.org/10.1136/bjsports-2016-096435</w:t>
      </w:r>
    </w:p>
    <w:p>
      <w:pPr>
        <w:spacing w:before="0" w:after="40" w:lineRule="exact" w:line="210"/>
        <w:ind w:left="340" w:hanging="340"/>
        <w:jc w:val="both"/>
      </w:pPr>
      <w:r>
        <w:rPr>
          <w:rFonts w:ascii="Palatino Linotype" w:hAnsi="Palatino Linotype"/>
          <w:i w:val="0"/>
          <w:sz w:val="18"/>
        </w:rPr>
        <w:t xml:space="preserve">L'Hermette, M., Castres, I., Coquart, J., Tabben, M., Ghoul, N., Andrieu, B., &amp; Tourny, C. (2020). Cold Water Immersion After a Handball Training Session: The Relationship Between Physical Data and Sensorial Experience.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40" w:lineRule="exact" w:line="210"/>
        <w:ind w:left="340" w:hanging="340"/>
        <w:jc w:val="both"/>
      </w:pPr>
      <w:r>
        <w:rPr>
          <w:rFonts w:ascii="Palatino Linotype" w:hAnsi="Palatino Linotype"/>
          <w:i w:val="0"/>
          <w:sz w:val="18"/>
        </w:rPr>
        <w:t xml:space="preserve">Landis, J. R., &amp; Koch, G. G. (1977).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(1), 159. https://doi.org/10.2307/2529310</w:t>
      </w:r>
    </w:p>
    <w:p>
      <w:pPr>
        <w:spacing w:before="0" w:after="40" w:lineRule="exact" w:line="210"/>
        <w:ind w:left="340" w:hanging="340"/>
        <w:jc w:val="both"/>
      </w:pPr>
      <w:r>
        <w:rPr>
          <w:rFonts w:ascii="Palatino Linotype" w:hAnsi="Palatino Linotype"/>
          <w:i w:val="0"/>
          <w:sz w:val="18"/>
        </w:rPr>
        <w:t xml:space="preserve">Lara-Cobos, D., Puigarnau, S., &amp; Sánchez, J. A. (2024). Percepción de la fatiga y bienestar en jugadoras internacionales de balonmano playa en competición oficial.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(3), 263–270. https://doi.org/10.17398/1885-7019.20.263</w:t>
      </w:r>
    </w:p>
    <w:p>
      <w:pPr>
        <w:spacing w:before="0" w:after="40" w:lineRule="exact" w:line="210"/>
        <w:ind w:left="340" w:hanging="340"/>
        <w:jc w:val="both"/>
      </w:pPr>
      <w:r>
        <w:rPr>
          <w:rFonts w:ascii="Palatino Linotype" w:hAnsi="Palatino Linotype"/>
          <w:i w:val="0"/>
          <w:sz w:val="18"/>
        </w:rPr>
        <w:t xml:space="preserve">Lepir, D., Lakić, S., Martić, T., Soldat, T., Zlojutro, N., &amp; Sekulić, Ž. (2025). The effect of Neurofeedback SMR training on psycho-physiological and behavioral phenomena in professional handball players: An exploratory study. </w:t>
      </w:r>
      <w:r>
        <w:rPr>
          <w:rFonts w:ascii="Palatino Linotype" w:hAnsi="Palatino Linotype"/>
          <w:i/>
          <w:sz w:val="18"/>
        </w:rPr>
        <w:t>SPORT TK-Revista EuroAmericana de Ciencias del Deporte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40" w:lineRule="exact" w:line="210"/>
        <w:ind w:left="340" w:hanging="340"/>
        <w:jc w:val="both"/>
      </w:pPr>
      <w:r>
        <w:rPr>
          <w:rFonts w:ascii="Palatino Linotype" w:hAnsi="Palatino Linotype"/>
          <w:i w:val="0"/>
          <w:sz w:val="18"/>
        </w:rPr>
        <w:t xml:space="preserve">Li, Y., Ghogomu, E., Hui, X., Fenfen, E., Campbell, F., Khalil, H., Li, X., Gaarder, M., Nduku, P. M., White, H., Hou, L., Chen, N., Xu, S., Ma, N., Hu, X., Liu, X., Welch, V., &amp; Yang, K. (2025). Key concepts and reporting recommendations for mapping reviews: A scoping review of 68 guidance and methodological studies.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157–174. https://doi.org/10.1017/rsm.2024.9</w:t>
      </w:r>
    </w:p>
    <w:p>
      <w:pPr>
        <w:spacing w:before="0" w:after="40" w:lineRule="exact" w:line="210"/>
        <w:ind w:left="340" w:hanging="340"/>
        <w:jc w:val="both"/>
      </w:pPr>
      <w:r>
        <w:rPr>
          <w:rFonts w:ascii="Palatino Linotype" w:hAnsi="Palatino Linotype"/>
          <w:i w:val="0"/>
          <w:sz w:val="18"/>
        </w:rPr>
        <w:t xml:space="preserve">Lin, C. H., Lu, F. J., Chen, T. W., &amp; Hsu, Y. (2022).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(5), 1295–1315. https://doi.org/10.1080/1612197x.2021.1987503</w:t>
      </w:r>
    </w:p>
    <w:p>
      <w:pPr>
        <w:spacing w:before="0" w:after="40" w:lineRule="exact" w:line="210"/>
        <w:ind w:left="340" w:hanging="340"/>
        <w:jc w:val="both"/>
      </w:pPr>
      <w:r>
        <w:rPr>
          <w:rFonts w:ascii="Palatino Linotype" w:hAnsi="Palatino Linotype"/>
          <w:i w:val="0"/>
          <w:sz w:val="18"/>
        </w:rPr>
        <w:t xml:space="preserve">Loffing, F., &amp; Hagemann, N. (2014).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260–267. https://doi.org/10.1016/j.psychsport.2014.01.006</w:t>
      </w:r>
    </w:p>
    <w:p>
      <w:pPr>
        <w:spacing w:before="0" w:after="40" w:lineRule="exact" w:line="210"/>
        <w:ind w:left="340" w:hanging="340"/>
        <w:jc w:val="both"/>
      </w:pPr>
      <w:r>
        <w:rPr>
          <w:rFonts w:ascii="Palatino Linotype" w:hAnsi="Palatino Linotype"/>
          <w:i w:val="0"/>
          <w:sz w:val="18"/>
        </w:rPr>
        <w:t xml:space="preserve">Luteberget, L. S., &amp; Spencer, M. (2017). High-Intensity Events in International Women’s Team Handball Matches.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56–61. https://doi.org/10.1123/ijspp.2015-0641</w:t>
      </w:r>
    </w:p>
    <w:p>
      <w:pPr>
        <w:spacing w:before="0" w:after="40" w:lineRule="exact" w:line="210"/>
        <w:ind w:left="340" w:hanging="340"/>
        <w:jc w:val="both"/>
      </w:pPr>
      <w:r>
        <w:rPr>
          <w:rFonts w:ascii="Palatino Linotype" w:hAnsi="Palatino Linotype"/>
          <w:i w:val="0"/>
          <w:sz w:val="18"/>
        </w:rPr>
        <w:t xml:space="preserve">Macedo, L., Volossovitch, A., Carita, A. I., &amp; Komar, J. (2025).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1189–1207. https://doi.org/10.1080/24748668.2024.2354109</w:t>
      </w:r>
    </w:p>
    <w:p>
      <w:pPr>
        <w:spacing w:before="0" w:after="40" w:lineRule="exact" w:line="210"/>
        <w:ind w:left="340" w:hanging="340"/>
        <w:jc w:val="both"/>
      </w:pPr>
      <w:r>
        <w:rPr>
          <w:rFonts w:ascii="Palatino Linotype" w:hAnsi="Palatino Linotype"/>
          <w:i w:val="0"/>
          <w:sz w:val="18"/>
        </w:rPr>
        <w:t xml:space="preserve">Malfa, D., Pizarro, D., Gómez-López, M., &amp; Valero-Valenzuela, A. (2025). Impacto del modelo ludocomprensivo en el estilo interpersonal del entrenador, la motivación y el aprendizaje del juego en jugadores de balonmano en etapa inicial. </w:t>
      </w:r>
      <w:r>
        <w:rPr>
          <w:rFonts w:ascii="Palatino Linotype" w:hAnsi="Palatino Linotype"/>
          <w:i/>
          <w:sz w:val="18"/>
        </w:rPr>
        <w:t>Sportis. Scientific Journal of School Sport, Physical Education and Psychomotricity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https://doi.org/10.17979/sportis.2025.11.4.11990</w:t>
      </w:r>
    </w:p>
    <w:p>
      <w:pPr>
        <w:spacing w:before="0" w:after="40" w:lineRule="exact" w:line="210"/>
        <w:ind w:left="340" w:hanging="340"/>
        <w:jc w:val="both"/>
      </w:pPr>
      <w:r>
        <w:rPr>
          <w:rFonts w:ascii="Palatino Linotype" w:hAnsi="Palatino Linotype"/>
          <w:i w:val="0"/>
          <w:sz w:val="18"/>
        </w:rPr>
        <w:t xml:space="preserve">Manchado, C., Tortosa-Martínez, J., Vila, H., Ferragut, C., &amp; Platen, P. (2013). Performance Factors in Women's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27</w:t>
      </w:r>
      <w:r>
        <w:rPr>
          <w:rFonts w:ascii="Palatino Linotype" w:hAnsi="Palatino Linotype"/>
          <w:i w:val="0"/>
          <w:sz w:val="18"/>
        </w:rPr>
        <w:t>(6), 1708–1719. https://doi.org/10.1519/jsc.0b013e3182891535</w:t>
      </w:r>
    </w:p>
    <w:p>
      <w:pPr>
        <w:spacing w:before="0" w:after="40" w:lineRule="exact" w:line="210"/>
        <w:ind w:left="340" w:hanging="340"/>
        <w:jc w:val="both"/>
      </w:pPr>
      <w:r>
        <w:rPr>
          <w:rFonts w:ascii="Palatino Linotype" w:hAnsi="Palatino Linotype"/>
          <w:i w:val="0"/>
          <w:sz w:val="18"/>
        </w:rPr>
        <w:t xml:space="preserve">Martin, L. J., Carron, A. V., &amp; Burke, S. M. (2009). Team building interventions in sport: A meta-analysis. </w:t>
      </w:r>
      <w:r>
        <w:rPr>
          <w:rFonts w:ascii="Palatino Linotype" w:hAnsi="Palatino Linotype"/>
          <w:i/>
          <w:sz w:val="18"/>
        </w:rPr>
        <w:t>Sport &amp; Exercise Psychology Review</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(2), 3–18. https://doi.org/10.53841/bpssepr.2009.5.2.3</w:t>
      </w:r>
    </w:p>
    <w:p>
      <w:pPr>
        <w:spacing w:before="0" w:after="40" w:lineRule="exact" w:line="210"/>
        <w:ind w:left="340" w:hanging="340"/>
        <w:jc w:val="both"/>
      </w:pPr>
      <w:r>
        <w:rPr>
          <w:rFonts w:ascii="Palatino Linotype" w:hAnsi="Palatino Linotype"/>
          <w:i w:val="0"/>
          <w:sz w:val="18"/>
        </w:rPr>
        <w:t xml:space="preserve">Martins, R., Krustrup, P., Castagna, C., Mohr, M., Teixeira, J., Carneiro, I., &amp; Póvoas, S. (2026). Walking handball as an exercise alternative to conventional walking and recreational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40" w:lineRule="exact" w:line="210"/>
        <w:ind w:left="340" w:hanging="340"/>
        <w:jc w:val="both"/>
      </w:pPr>
      <w:r>
        <w:rPr>
          <w:rFonts w:ascii="Palatino Linotype" w:hAnsi="Palatino Linotype"/>
          <w:i w:val="0"/>
          <w:sz w:val="18"/>
        </w:rPr>
        <w:t xml:space="preserve">Martiny, L., Dias, G., Ferreira, J. P., Mendes, R., &amp; Mendes, R. (2024).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(6), 160. https://doi.org/10.3390/sports12060160</w:t>
      </w:r>
    </w:p>
    <w:p>
      <w:pPr>
        <w:spacing w:before="0" w:after="40" w:lineRule="exact" w:line="210"/>
        <w:ind w:left="340" w:hanging="340"/>
        <w:jc w:val="both"/>
      </w:pPr>
      <w:r>
        <w:rPr>
          <w:rFonts w:ascii="Palatino Linotype" w:hAnsi="Palatino Linotype"/>
          <w:i w:val="0"/>
          <w:sz w:val="18"/>
        </w:rPr>
        <w:t xml:space="preserve">Martínez, M., Bonet, J., Encinas, A., et al. (1998). Psychological program to improve the output of handball players. </w:t>
      </w:r>
      <w:r>
        <w:rPr>
          <w:rFonts w:ascii="Palatino Linotype" w:hAnsi="Palatino Linotype"/>
          <w:i/>
          <w:sz w:val="18"/>
        </w:rPr>
        <w:t>Psicothema</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McDaniel Peters, B. C., &amp; Wood, W. (2017). Autism and Equine-Assisted Interventions: A Systematic Mapping Review. </w:t>
      </w:r>
      <w:r>
        <w:rPr>
          <w:rFonts w:ascii="Palatino Linotype" w:hAnsi="Palatino Linotype"/>
          <w:i/>
          <w:sz w:val="18"/>
        </w:rPr>
        <w:t>Journal of Autism and Developmental Disorders</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(10), 3220–3242. https://doi.org/10.1007/s10803-017-3219-9</w:t>
      </w:r>
    </w:p>
    <w:p>
      <w:pPr>
        <w:spacing w:before="0" w:after="40" w:lineRule="exact" w:line="210"/>
        <w:ind w:left="340" w:hanging="340"/>
        <w:jc w:val="both"/>
      </w:pPr>
      <w:r>
        <w:rPr>
          <w:rFonts w:ascii="Palatino Linotype" w:hAnsi="Palatino Linotype"/>
          <w:i w:val="0"/>
          <w:sz w:val="18"/>
        </w:rPr>
        <w:t xml:space="preserve">McHugh, M. L. (2012). Interrater reliability: the kappa statistic. </w:t>
      </w:r>
      <w:r>
        <w:rPr>
          <w:rFonts w:ascii="Palatino Linotype" w:hAnsi="Palatino Linotype"/>
          <w:i/>
          <w:sz w:val="18"/>
        </w:rPr>
        <w:t>Biochemia Medica</w:t>
      </w:r>
      <w:r>
        <w:rPr>
          <w:rFonts w:ascii="Palatino Linotype" w:hAnsi="Palatino Linotype"/>
          <w:i w:val="0"/>
          <w:sz w:val="18"/>
        </w:rPr>
        <w:t>, 276–282. https://doi.org/10.11613/bm.2012.031</w:t>
      </w:r>
    </w:p>
    <w:p>
      <w:pPr>
        <w:spacing w:before="0" w:after="40" w:lineRule="exact" w:line="210"/>
        <w:ind w:left="340" w:hanging="340"/>
        <w:jc w:val="both"/>
      </w:pPr>
      <w:r>
        <w:rPr>
          <w:rFonts w:ascii="Palatino Linotype" w:hAnsi="Palatino Linotype"/>
          <w:i w:val="0"/>
          <w:sz w:val="18"/>
        </w:rPr>
        <w:t xml:space="preserve">Menn, M. L., Bossard, C., Travassos, B., Duarte, R., &amp; Kermarrec, G. (2019).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(1), 297–308. https://doi.org/10.2478/hukin-2019-0042</w:t>
      </w:r>
    </w:p>
    <w:p>
      <w:pPr>
        <w:spacing w:before="0" w:after="40" w:lineRule="exact" w:line="210"/>
        <w:ind w:left="340" w:hanging="340"/>
        <w:jc w:val="both"/>
      </w:pPr>
      <w:r>
        <w:rPr>
          <w:rFonts w:ascii="Palatino Linotype" w:hAnsi="Palatino Linotype"/>
          <w:i w:val="0"/>
          <w:sz w:val="18"/>
        </w:rPr>
        <w:t xml:space="preserve">Metan, H., &amp; Küçük, V. (2022). The Effect of Psychological Skill Training Program and Positive Feedback on Handball Player’s Self-Efficacy Beliefs and their Shot Accuracy. </w:t>
      </w:r>
      <w:r>
        <w:rPr>
          <w:rFonts w:ascii="Palatino Linotype" w:hAnsi="Palatino Linotype"/>
          <w:i/>
          <w:sz w:val="18"/>
        </w:rPr>
        <w:t>Annals of Applied Sport Science</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0–0. https://doi.org/10.52547/aassjournal.1060</w:t>
      </w:r>
    </w:p>
    <w:p>
      <w:pPr>
        <w:spacing w:before="0" w:after="40" w:lineRule="exact" w:line="210"/>
        <w:ind w:left="340" w:hanging="340"/>
        <w:jc w:val="both"/>
      </w:pPr>
      <w:r>
        <w:rPr>
          <w:rFonts w:ascii="Palatino Linotype" w:hAnsi="Palatino Linotype"/>
          <w:i w:val="0"/>
          <w:sz w:val="18"/>
        </w:rPr>
        <w:t xml:space="preserve">Mguidich, H., Ben Chikha, H., &amp; Khacharem, A. (2026). Static Tactical Diagrams and Imagination: Differential Effects on Novice and Expert Handball Players. </w:t>
      </w:r>
      <w:r>
        <w:rPr>
          <w:rFonts w:ascii="Palatino Linotype" w:hAnsi="Palatino Linotype"/>
          <w:i/>
          <w:sz w:val="18"/>
        </w:rPr>
        <w:t>Perceptual and Motor Skills</w:t>
      </w:r>
      <w:r>
        <w:rPr>
          <w:rFonts w:ascii="Palatino Linotype" w:hAnsi="Palatino Linotype"/>
          <w:i w:val="0"/>
          <w:sz w:val="18"/>
        </w:rPr>
        <w:t>, 00315125261462797. https://doi.org/10.1177/00315125261462797</w:t>
      </w:r>
    </w:p>
    <w:p>
      <w:pPr>
        <w:spacing w:before="0" w:after="40" w:lineRule="exact" w:line="210"/>
        <w:ind w:left="340" w:hanging="340"/>
        <w:jc w:val="both"/>
      </w:pPr>
      <w:r>
        <w:rPr>
          <w:rFonts w:ascii="Palatino Linotype" w:hAnsi="Palatino Linotype"/>
          <w:i w:val="0"/>
          <w:sz w:val="18"/>
        </w:rPr>
        <w:t xml:space="preserve">Michalsik, L., Aagaard, P., &amp; Madsen, K. (2012). Locomotion Characteristics and Match-Induced Impairments in Physical Performance in Male Elite Team Handball Players. </w:t>
      </w:r>
      <w:r>
        <w:rPr>
          <w:rFonts w:ascii="Palatino Linotype" w:hAnsi="Palatino Linotype"/>
          <w:i/>
          <w:sz w:val="18"/>
        </w:rPr>
        <w:t>International Journal of Sports Medicine</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(07), 590–599. https://doi.org/10.1055/s-0032-1329989</w:t>
      </w:r>
    </w:p>
    <w:p>
      <w:pPr>
        <w:spacing w:before="0" w:after="40" w:lineRule="exact" w:line="210"/>
        <w:ind w:left="340" w:hanging="340"/>
        <w:jc w:val="both"/>
      </w:pPr>
      <w:r>
        <w:rPr>
          <w:rFonts w:ascii="Palatino Linotype" w:hAnsi="Palatino Linotype"/>
          <w:i w:val="0"/>
          <w:sz w:val="18"/>
        </w:rPr>
        <w:t xml:space="preserve">Moesch, K., Kenttä, G., Kleinert, J., Quignon-Fleuret, C., Cecil, S., &amp; Bertollo, M. (2018).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40" w:lineRule="exact" w:line="210"/>
        <w:ind w:left="340" w:hanging="340"/>
        <w:jc w:val="both"/>
      </w:pPr>
      <w:r>
        <w:rPr>
          <w:rFonts w:ascii="Palatino Linotype" w:hAnsi="Palatino Linotype"/>
          <w:i w:val="0"/>
          <w:sz w:val="18"/>
        </w:rPr>
        <w:t xml:space="preserve">Mon-López, D., de la Rubia Riaza, A., Hontoria Galán, M., &amp; Refoyo Roman, I. (2020). The Impact of Covid-19 and the Effect of Psychological Factors on Training Conditions of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(18), 6471. https://doi.org/10.3390/ijerph17186471</w:t>
      </w:r>
    </w:p>
    <w:p>
      <w:pPr>
        <w:spacing w:before="0" w:after="40" w:lineRule="exact" w:line="210"/>
        <w:ind w:left="340" w:hanging="340"/>
        <w:jc w:val="both"/>
      </w:pPr>
      <w:r>
        <w:rPr>
          <w:rFonts w:ascii="Palatino Linotype" w:hAnsi="Palatino Linotype"/>
          <w:i w:val="0"/>
          <w:sz w:val="18"/>
        </w:rPr>
        <w:t xml:space="preserve">Nicolosi, S., Quinto, A., Lipoma, M., &amp; Sgrò, F. (2023).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(15), 8920. https://doi.org/10.3390/app13158920</w:t>
      </w:r>
    </w:p>
    <w:p>
      <w:pPr>
        <w:spacing w:before="0" w:after="40" w:lineRule="exact" w:line="210"/>
        <w:ind w:left="340" w:hanging="340"/>
        <w:jc w:val="both"/>
      </w:pPr>
      <w:r>
        <w:rPr>
          <w:rFonts w:ascii="Palatino Linotype" w:hAnsi="Palatino Linotype"/>
          <w:i w:val="0"/>
          <w:sz w:val="18"/>
        </w:rPr>
        <w:t xml:space="preserve">Nikolovski, Z., Foretić, N., Vrdoljak, D., Marić, D., &amp; Perić, M. (2023b). Comparison between Match and Training Session on Biomarker Responses in Handball Players.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83. https://doi.org/10.3390/sports11040083</w:t>
      </w:r>
    </w:p>
    <w:p>
      <w:pPr>
        <w:spacing w:before="0" w:after="40" w:lineRule="exact" w:line="210"/>
        <w:ind w:left="340" w:hanging="340"/>
        <w:jc w:val="both"/>
      </w:pPr>
      <w:r>
        <w:rPr>
          <w:rFonts w:ascii="Palatino Linotype" w:hAnsi="Palatino Linotype"/>
          <w:i w:val="0"/>
          <w:sz w:val="18"/>
        </w:rPr>
        <w:t xml:space="preserve">Nikolovski, Z., Vrdoljak, D., Foretić, N., Perić, M., Marić, D., &amp; Fountoulakis, C. (2023a).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(9), 1242. https://doi.org/10.3390/healthcare11091242</w:t>
      </w:r>
    </w:p>
    <w:p>
      <w:pPr>
        <w:spacing w:before="0" w:after="40" w:lineRule="exact" w:line="210"/>
        <w:ind w:left="340" w:hanging="340"/>
        <w:jc w:val="both"/>
      </w:pPr>
      <w:r>
        <w:rPr>
          <w:rFonts w:ascii="Palatino Linotype" w:hAnsi="Palatino Linotype"/>
          <w:i w:val="0"/>
          <w:sz w:val="18"/>
        </w:rPr>
        <w:t xml:space="preserve">Nishida, M., Yamamoto, K., Murata, Y., Ichinose, A., &amp; Shioda, K. (2021). Exploring the Effect of Long Naps on Handball Performance and Heart Rate Variability. </w:t>
      </w:r>
      <w:r>
        <w:rPr>
          <w:rFonts w:ascii="Palatino Linotype" w:hAnsi="Palatino Linotype"/>
          <w:i/>
          <w:sz w:val="18"/>
        </w:rPr>
        <w:t>Sports Medicine International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(03), E73–E80. https://doi.org/10.1055/a-1551-8054</w:t>
      </w:r>
    </w:p>
    <w:p>
      <w:pPr>
        <w:spacing w:before="0" w:after="40" w:lineRule="exact" w:line="210"/>
        <w:ind w:left="340" w:hanging="340"/>
        <w:jc w:val="both"/>
      </w:pPr>
      <w:r>
        <w:rPr>
          <w:rFonts w:ascii="Palatino Linotype" w:hAnsi="Palatino Linotype"/>
          <w:i w:val="0"/>
          <w:sz w:val="18"/>
        </w:rPr>
        <w:t xml:space="preserve">Norouzi, E., Hamboushi, L., Ahmadi, A., &amp; Rhodes, J. (2025).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20250009. https://doi.org/10.1515/jirspa-2025-0009</w:t>
      </w:r>
    </w:p>
    <w:p>
      <w:pPr>
        <w:spacing w:before="0" w:after="40" w:lineRule="exact" w:line="210"/>
        <w:ind w:left="340" w:hanging="340"/>
        <w:jc w:val="both"/>
      </w:pPr>
      <w:r>
        <w:rPr>
          <w:rFonts w:ascii="Palatino Linotype" w:hAnsi="Palatino Linotype"/>
          <w:i w:val="0"/>
          <w:sz w:val="18"/>
        </w:rPr>
        <w:t xml:space="preserve">Ntoumanis, N., Ng, J. Y., Prestwich, A., Quested, E., Hancox, J. E., Thøgersen-Ntoumani, C., Deci, E. L., Ryan, R. M., Lonsdale, C., &amp; Williams, G. C. (2021).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(2), 214–244. https://doi.org/10.1080/17437199.2020.1718529</w:t>
      </w:r>
    </w:p>
    <w:p>
      <w:pPr>
        <w:spacing w:before="0" w:after="40" w:lineRule="exact" w:line="210"/>
        <w:ind w:left="340" w:hanging="340"/>
        <w:jc w:val="both"/>
      </w:pPr>
      <w:r>
        <w:rPr>
          <w:rFonts w:ascii="Palatino Linotype" w:hAnsi="Palatino Linotype"/>
          <w:i w:val="0"/>
          <w:sz w:val="18"/>
        </w:rPr>
        <w:t xml:space="preserve">Nuell, S., Rabassa, J., Bárcena, C., Espar, J., Munné, C., &amp; García, I. (2025). Effects of daily use of intermittent pneumatic compression in competitive handball players: A randomized controlled trial.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(4), 311–321. https://doi.org/10.5114/biolsport.2025.151656</w:t>
      </w:r>
    </w:p>
    <w:p>
      <w:pPr>
        <w:spacing w:before="0" w:after="40" w:lineRule="exact" w:line="210"/>
        <w:ind w:left="340" w:hanging="340"/>
        <w:jc w:val="both"/>
      </w:pPr>
      <w:r>
        <w:rPr>
          <w:rFonts w:ascii="Palatino Linotype" w:hAnsi="Palatino Linotype"/>
          <w:i w:val="0"/>
          <w:sz w:val="18"/>
        </w:rPr>
        <w:t xml:space="preserve">Paul Meeûs, M. S., Serpa, S., &amp; De Cuyper, B. (2010).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(4), 323–340. https://doi.org/10.1123/jcsp.4.4.323</w:t>
      </w:r>
    </w:p>
    <w:p>
      <w:pPr>
        <w:spacing w:before="0" w:after="40" w:lineRule="exact" w:line="210"/>
        <w:ind w:left="340" w:hanging="340"/>
        <w:jc w:val="both"/>
      </w:pPr>
      <w:r>
        <w:rPr>
          <w:rFonts w:ascii="Palatino Linotype" w:hAnsi="Palatino Linotype"/>
          <w:i w:val="0"/>
          <w:sz w:val="18"/>
        </w:rPr>
        <w:t xml:space="preserve">Pedersen, A., Randers, M. B., Luteberget, L. S., &amp; Møller, M. (2023).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(1), 174–180. https://doi.org/10.1519/jsc.0000000000004202</w:t>
      </w:r>
    </w:p>
    <w:p>
      <w:pPr>
        <w:spacing w:before="0" w:after="40" w:lineRule="exact" w:line="210"/>
        <w:ind w:left="340" w:hanging="340"/>
        <w:jc w:val="both"/>
      </w:pPr>
      <w:r>
        <w:rPr>
          <w:rFonts w:ascii="Palatino Linotype" w:hAnsi="Palatino Linotype"/>
          <w:i w:val="0"/>
          <w:sz w:val="18"/>
        </w:rPr>
        <w:t xml:space="preserve">Penna, E. M., Filho, E., Campos, B. T., Pires, D. A., Nakamura, F. Y., Mendes, T. T., Lopes, T. R., Smith, M., &amp; Prado, L. S. (2018). Mental fatigue does not affect heart rate recovery but impairs performance in handball players. </w:t>
      </w:r>
      <w:r>
        <w:rPr>
          <w:rFonts w:ascii="Palatino Linotype" w:hAnsi="Palatino Linotype"/>
          <w:i/>
          <w:sz w:val="18"/>
        </w:rPr>
        <w:t>Revista Brasileira de Medicina do Esporte</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(5), 347–351. https://doi.org/10.1590/1517-869220182405180483</w:t>
      </w:r>
    </w:p>
    <w:p>
      <w:pPr>
        <w:spacing w:before="0" w:after="40" w:lineRule="exact" w:line="210"/>
        <w:ind w:left="340" w:hanging="340"/>
        <w:jc w:val="both"/>
      </w:pPr>
      <w:r>
        <w:rPr>
          <w:rFonts w:ascii="Palatino Linotype" w:hAnsi="Palatino Linotype"/>
          <w:i w:val="0"/>
          <w:sz w:val="18"/>
        </w:rPr>
        <w:t xml:space="preserve">Prieto, J., Gómez, M. Á., &amp; Sampaio, J. (2015). A bibliometric review of the scientific production in handball. </w:t>
      </w:r>
      <w:r>
        <w:rPr>
          <w:rFonts w:ascii="Palatino Linotype" w:hAnsi="Palatino Linotype"/>
          <w:i/>
          <w:sz w:val="18"/>
        </w:rPr>
        <w:t>Cuadernos de Psicología del Deporte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145–154. https://doi.org/10.4321/s1578-84232015000300014</w:t>
      </w:r>
    </w:p>
    <w:p>
      <w:pPr>
        <w:spacing w:before="0" w:after="40" w:lineRule="exact" w:line="210"/>
        <w:ind w:left="340" w:hanging="340"/>
        <w:jc w:val="both"/>
      </w:pPr>
      <w:r>
        <w:rPr>
          <w:rFonts w:ascii="Palatino Linotype" w:hAnsi="Palatino Linotype"/>
          <w:i w:val="0"/>
          <w:sz w:val="18"/>
        </w:rPr>
        <w:t xml:space="preserve">Purcell, R., Gwyther, K., &amp; Rice, S. M. (2019). Mental Health In Elite Athletes: Increased Awareness Requires An Early Intervention Framework to Respond to Athlete Needs. </w:t>
      </w:r>
      <w:r>
        <w:rPr>
          <w:rFonts w:ascii="Palatino Linotype" w:hAnsi="Palatino Linotype"/>
          <w:i/>
          <w:sz w:val="18"/>
        </w:rPr>
        <w:t>Sports Medicine -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46. https://doi.org/10.1186/s40798-019-0220-1</w:t>
      </w:r>
    </w:p>
    <w:p>
      <w:pPr>
        <w:spacing w:before="0" w:after="40" w:lineRule="exact" w:line="210"/>
        <w:ind w:left="340" w:hanging="340"/>
        <w:jc w:val="both"/>
      </w:pPr>
      <w:r>
        <w:rPr>
          <w:rFonts w:ascii="Palatino Linotype" w:hAnsi="Palatino Linotype"/>
          <w:i w:val="0"/>
          <w:sz w:val="18"/>
        </w:rPr>
        <w:t xml:space="preserve">Póvoas, S. C., Seabra, A. F., Ascensão, A. A., Magalhães, J., Soares, J. M., &amp; Rebelo, A. N. (2012).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(12), 3365–3375. https://doi.org/10.1519/jsc.0b013e318248aeee</w:t>
      </w:r>
    </w:p>
    <w:p>
      <w:pPr>
        <w:spacing w:before="0" w:after="40" w:lineRule="exact" w:line="210"/>
        <w:ind w:left="340" w:hanging="340"/>
        <w:jc w:val="both"/>
      </w:pPr>
      <w:r>
        <w:rPr>
          <w:rFonts w:ascii="Palatino Linotype" w:hAnsi="Palatino Linotype"/>
          <w:i w:val="0"/>
          <w:sz w:val="18"/>
        </w:rPr>
        <w:t xml:space="preserve">Raab, M., &amp; Johnson, J. G. (2007).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(3), 158–170. https://doi.org/10.1037/1076-898x.13.3.158</w:t>
      </w:r>
    </w:p>
    <w:p>
      <w:pPr>
        <w:spacing w:before="0" w:after="40" w:lineRule="exact" w:line="210"/>
        <w:ind w:left="340" w:hanging="340"/>
        <w:jc w:val="both"/>
      </w:pPr>
      <w:r>
        <w:rPr>
          <w:rFonts w:ascii="Palatino Linotype" w:hAnsi="Palatino Linotype"/>
          <w:i w:val="0"/>
          <w:sz w:val="18"/>
        </w:rPr>
        <w:t xml:space="preserve">Reardon, C. L., Hainline, B., Aron, C. M., Baron, D., Baum, A. L., Bindra, A., Budgett, R., Campriani, N., Castaldelli-Maia, J. M., Currie, A., Derevensky, J. L., Glick, I. D., Gorczynski, P., Gouttebarge, V., Grandner, M. A., Han, D. H., McDuff, D., Mountjoy, M., Polat, A., ... Engebretsen, L. (2019). Mental health in elite athletes: International Olympic Committee consensus statement (2019).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667–699. https://doi.org/10.1136/bjsports-2019-100715</w:t>
      </w:r>
    </w:p>
    <w:p>
      <w:pPr>
        <w:spacing w:before="0" w:after="40" w:lineRule="exact" w:line="210"/>
        <w:ind w:left="340" w:hanging="340"/>
        <w:jc w:val="both"/>
      </w:pPr>
      <w:r>
        <w:rPr>
          <w:rFonts w:ascii="Palatino Linotype" w:hAnsi="Palatino Linotype"/>
          <w:i w:val="0"/>
          <w:sz w:val="18"/>
        </w:rPr>
        <w:t xml:space="preserve">Reifsteck, E. J., Anderson, S. N., Newton, J. D., &amp; Maher, J. P. (2021).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408–422. https://doi.org/10.1037/spy0000252</w:t>
      </w:r>
    </w:p>
    <w:p>
      <w:pPr>
        <w:spacing w:before="0" w:after="40" w:lineRule="exact" w:line="210"/>
        <w:ind w:left="340" w:hanging="340"/>
        <w:jc w:val="both"/>
      </w:pPr>
      <w:r>
        <w:rPr>
          <w:rFonts w:ascii="Palatino Linotype" w:hAnsi="Palatino Linotype"/>
          <w:i w:val="0"/>
          <w:sz w:val="18"/>
        </w:rPr>
        <w:t xml:space="preserve">Reinebo, G., Alfonsson, S., Jansson-Fröjmark, M., Rozental, A., &amp; Lundgren, T. (2024). Effects of Psychological Interventions to Enhance Athletic Performance: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347–373. https://doi.org/10.1007/s40279-023-01931-z</w:t>
      </w:r>
    </w:p>
    <w:p>
      <w:pPr>
        <w:spacing w:before="0" w:after="40" w:lineRule="exact" w:line="210"/>
        <w:ind w:left="340" w:hanging="340"/>
        <w:jc w:val="both"/>
      </w:pPr>
      <w:r>
        <w:rPr>
          <w:rFonts w:ascii="Palatino Linotype" w:hAnsi="Palatino Linotype"/>
          <w:i w:val="0"/>
          <w:sz w:val="18"/>
        </w:rPr>
        <w:t xml:space="preserve">Rice, S. M., Purcell, R., De Silva, S., Mawren, D., McGorry, P. D., &amp; Parker, A. G. (2016). The Mental Health of Elite Athletes: A Narrative Systematic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46</w:t>
      </w:r>
      <w:r>
        <w:rPr>
          <w:rFonts w:ascii="Palatino Linotype" w:hAnsi="Palatino Linotype"/>
          <w:i w:val="0"/>
          <w:sz w:val="18"/>
        </w:rPr>
        <w:t>(9), 1333–1353. https://doi.org/10.1007/s40279-016-0492-2</w:t>
      </w:r>
    </w:p>
    <w:p>
      <w:pPr>
        <w:spacing w:before="0" w:after="40" w:lineRule="exact" w:line="210"/>
        <w:ind w:left="340" w:hanging="340"/>
        <w:jc w:val="both"/>
      </w:pPr>
      <w:r>
        <w:rPr>
          <w:rFonts w:ascii="Palatino Linotype" w:hAnsi="Palatino Linotype"/>
          <w:i w:val="0"/>
          <w:sz w:val="18"/>
        </w:rPr>
        <w:t xml:space="preserve">Russomanno, T., Lam, H., Knopp, M., Huang, H., Stadtlander, T., &amp; Lames, M. (2021).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40" w:lineRule="exact" w:line="210"/>
        <w:ind w:left="340" w:hanging="340"/>
        <w:jc w:val="both"/>
      </w:pPr>
      <w:r>
        <w:rPr>
          <w:rFonts w:ascii="Palatino Linotype" w:hAnsi="Palatino Linotype"/>
          <w:i w:val="0"/>
          <w:sz w:val="18"/>
        </w:rPr>
        <w:t xml:space="preserve">Saal, C., Baumgart, C., Wegener, F., Ackermann, N., Sölter, F., &amp; Hoppe, M. W. (2023). Physical match demands of four LIQUI-MOLY Handball-Bundesliga teams from 2019–2022: effects of season, team, match outcome, playing position, and halftime.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1183881. https://doi.org/10.3389/fspor.2023.1183881</w:t>
      </w:r>
    </w:p>
    <w:p>
      <w:pPr>
        <w:spacing w:before="0" w:after="40" w:lineRule="exact" w:line="210"/>
        <w:ind w:left="340" w:hanging="340"/>
        <w:jc w:val="both"/>
      </w:pPr>
      <w:r>
        <w:rPr>
          <w:rFonts w:ascii="Palatino Linotype" w:hAnsi="Palatino Linotype"/>
          <w:i w:val="0"/>
          <w:sz w:val="18"/>
        </w:rPr>
        <w:t xml:space="preserve">Saal, C., Rheinsberg, P., Baumgart, C., Brochhagen, J., &amp; Hoppe, M. W. (2026). How different defensive formations affect physical match demands in the German Handball-Bundesliga: a comparison of the attacking and defending team.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40" w:lineRule="exact" w:line="210"/>
        <w:ind w:left="340" w:hanging="340"/>
        <w:jc w:val="both"/>
      </w:pPr>
      <w:r>
        <w:rPr>
          <w:rFonts w:ascii="Palatino Linotype" w:hAnsi="Palatino Linotype"/>
          <w:i w:val="0"/>
          <w:sz w:val="18"/>
        </w:rPr>
        <w:t xml:space="preserve">Saavedra, J. M. (2018).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(1), 5–8. https://doi.org/10.2478/hukin-2018-0001</w:t>
      </w:r>
    </w:p>
    <w:p>
      <w:pPr>
        <w:spacing w:before="0" w:after="40" w:lineRule="exact" w:line="210"/>
        <w:ind w:left="340" w:hanging="340"/>
        <w:jc w:val="both"/>
      </w:pPr>
      <w:r>
        <w:rPr>
          <w:rFonts w:ascii="Palatino Linotype" w:hAnsi="Palatino Linotype"/>
          <w:i w:val="0"/>
          <w:sz w:val="18"/>
        </w:rPr>
        <w:t xml:space="preserve">Saha, S., Boby, F. A., Sharma, A., Ganguly, S., Upadhyay, K., Khati, A., Singh, D. K., Dhoni, K., &amp; Karmakar, D. (2025).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40" w:lineRule="exact" w:line="210"/>
        <w:ind w:left="340" w:hanging="340"/>
        <w:jc w:val="both"/>
      </w:pPr>
      <w:r>
        <w:rPr>
          <w:rFonts w:ascii="Palatino Linotype" w:hAnsi="Palatino Linotype"/>
          <w:i w:val="0"/>
          <w:sz w:val="18"/>
        </w:rPr>
        <w:t xml:space="preserve">Sahli, F., Sahli, H., Trabelsi, O., Jebabli, N., Zghibi, M., &amp; Haddad, M. (2023).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(4), 680. https://doi.org/10.3390/children10040680</w:t>
      </w:r>
    </w:p>
    <w:p>
      <w:pPr>
        <w:spacing w:before="0" w:after="40" w:lineRule="exact" w:line="210"/>
        <w:ind w:left="340" w:hanging="340"/>
        <w:jc w:val="both"/>
      </w:pPr>
      <w:r>
        <w:rPr>
          <w:rFonts w:ascii="Palatino Linotype" w:hAnsi="Palatino Linotype"/>
          <w:i w:val="0"/>
          <w:sz w:val="18"/>
        </w:rPr>
        <w:t xml:space="preserve">Saket, I., Goumni, C., Hammami, A., Driss, A., Hammami, R., &amp; Amar, I. B. (2026).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40" w:lineRule="exact" w:line="210"/>
        <w:ind w:left="340" w:hanging="340"/>
        <w:jc w:val="both"/>
      </w:pPr>
      <w:r>
        <w:rPr>
          <w:rFonts w:ascii="Palatino Linotype" w:hAnsi="Palatino Linotype"/>
          <w:i w:val="0"/>
          <w:sz w:val="18"/>
        </w:rPr>
        <w:t xml:space="preserve">Santos-Afonso, M. d., Lourenção, L. G., Afonso, M. d. S., Saes, M. d. O., Santos, F. B. d., Penha, J. G. M., Galvão, D. M., Ximenes Neto, F. R. G., Sasaki, N. S. G. M. d. S., Santos, M. d. L. S. G., Borges, F. A., Oliveira, J. F. d., Rodrigues, S. T., Bandeira, E. d. O., Alcantara, F. C. d., Cunha, C. L. F., Silva, F. G. d., Lemos, M., Soares Junior, A. d. O., &amp; Neves, F. B. (2023). Burnout Syndrome in Selectable Athletes for the Brazilian Handball Team—Children Category.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3692. https://doi.org/10.3390/ijerph20043692</w:t>
      </w:r>
    </w:p>
    <w:p>
      <w:pPr>
        <w:spacing w:before="0" w:after="40" w:lineRule="exact" w:line="210"/>
        <w:ind w:left="340" w:hanging="340"/>
        <w:jc w:val="both"/>
      </w:pPr>
      <w:r>
        <w:rPr>
          <w:rFonts w:ascii="Palatino Linotype" w:hAnsi="Palatino Linotype"/>
          <w:i w:val="0"/>
          <w:sz w:val="18"/>
        </w:rPr>
        <w:t xml:space="preserve">Saw, A. E., Main, L. C., &amp; Gastin, P. B. (2016). Monitoring the athlete training response: subjective self-reported measures trump commonly used objective measures: a systematic review.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(5), 281–291. https://doi.org/10.1136/bjsports-2015-094758</w:t>
      </w:r>
    </w:p>
    <w:p>
      <w:pPr>
        <w:spacing w:before="0" w:after="40" w:lineRule="exact" w:line="210"/>
        <w:ind w:left="340" w:hanging="340"/>
        <w:jc w:val="both"/>
      </w:pPr>
      <w:r>
        <w:rPr>
          <w:rFonts w:ascii="Palatino Linotype" w:hAnsi="Palatino Linotype"/>
          <w:i w:val="0"/>
          <w:sz w:val="18"/>
        </w:rPr>
        <w:t xml:space="preserve">Schinke, R. J., Stambulova, N. B., Si, G., &amp; Moore, Z. (2018).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 622–639. https://doi.org/10.1080/1612197x.2017.1295557</w:t>
      </w:r>
    </w:p>
    <w:p>
      <w:pPr>
        <w:spacing w:before="0" w:after="40" w:lineRule="exact" w:line="210"/>
        <w:ind w:left="340" w:hanging="340"/>
        <w:jc w:val="both"/>
      </w:pPr>
      <w:r>
        <w:rPr>
          <w:rFonts w:ascii="Palatino Linotype" w:hAnsi="Palatino Linotype"/>
          <w:i w:val="0"/>
          <w:sz w:val="18"/>
        </w:rPr>
        <w:t xml:space="preserve">Schorer, J., Heibült, N., Wilson, S. G., &amp; Loffing, F. (2021).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40" w:lineRule="exact" w:line="210"/>
        <w:ind w:left="340" w:hanging="340"/>
        <w:jc w:val="both"/>
      </w:pPr>
      <w:r>
        <w:rPr>
          <w:rFonts w:ascii="Palatino Linotype" w:hAnsi="Palatino Linotype"/>
          <w:i w:val="0"/>
          <w:sz w:val="18"/>
        </w:rPr>
        <w:t xml:space="preserve">Schulz, K. F., Altman, D. G., &amp; Moher, D. (2010).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(mar23 1), c332–c332. https://doi.org/10.1136/bmj.c332</w:t>
      </w:r>
    </w:p>
    <w:p>
      <w:pPr>
        <w:spacing w:before="0" w:after="40" w:lineRule="exact" w:line="210"/>
        <w:ind w:left="340" w:hanging="340"/>
        <w:jc w:val="both"/>
      </w:pPr>
      <w:r>
        <w:rPr>
          <w:rFonts w:ascii="Palatino Linotype" w:hAnsi="Palatino Linotype"/>
          <w:i w:val="0"/>
          <w:sz w:val="18"/>
        </w:rPr>
        <w:t xml:space="preserve">Seyedahmadi, M., Keavanloo, F., Omidi, A., &amp; Bagheri, N. (2025). Re-injury Anxiety in Elite Iranian Handball Players: A Cross-Sectional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(4). https://doi.org/10.5812/asjsm-153552</w:t>
      </w:r>
    </w:p>
    <w:p>
      <w:pPr>
        <w:spacing w:before="0" w:after="40" w:lineRule="exact" w:line="210"/>
        <w:ind w:left="340" w:hanging="340"/>
        <w:jc w:val="both"/>
      </w:pPr>
      <w:r>
        <w:rPr>
          <w:rFonts w:ascii="Palatino Linotype" w:hAnsi="Palatino Linotype"/>
          <w:i w:val="0"/>
          <w:sz w:val="18"/>
        </w:rPr>
        <w:t xml:space="preserve">Si, X. W., Yang, Z. K., &amp; Feng, X. (2024). A meta-analysis of the intervention effect of mindfulness training on athletes’ performance.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40" w:lineRule="exact" w:line="210"/>
        <w:ind w:left="340" w:hanging="340"/>
        <w:jc w:val="both"/>
      </w:pPr>
      <w:r>
        <w:rPr>
          <w:rFonts w:ascii="Palatino Linotype" w:hAnsi="Palatino Linotype"/>
          <w:i w:val="0"/>
          <w:sz w:val="18"/>
        </w:rPr>
        <w:t xml:space="preserve">Simonsmeier, B. A., Andronie, M., Buecker, S., &amp; Frank, C. (2021).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186–207. https://doi.org/10.1080/1750984x.2020.1780627</w:t>
      </w:r>
    </w:p>
    <w:p>
      <w:pPr>
        <w:spacing w:before="0" w:after="40" w:lineRule="exact" w:line="210"/>
        <w:ind w:left="340" w:hanging="340"/>
        <w:jc w:val="both"/>
      </w:pPr>
      <w:r>
        <w:rPr>
          <w:rFonts w:ascii="Palatino Linotype" w:hAnsi="Palatino Linotype"/>
          <w:i w:val="0"/>
          <w:sz w:val="18"/>
        </w:rPr>
        <w:t xml:space="preserve">Soto, D., García-Herrero, J. A., &amp; Carcedo, R. J. (2020). Well-Being and Throwing Speed of Women Handball Players Affected by Feedback.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(17), 6064. https://doi.org/10.3390/ijerph17176064</w:t>
      </w:r>
    </w:p>
    <w:p>
      <w:pPr>
        <w:spacing w:before="0" w:after="40" w:lineRule="exact" w:line="210"/>
        <w:ind w:left="340" w:hanging="340"/>
        <w:jc w:val="both"/>
      </w:pPr>
      <w:r>
        <w:rPr>
          <w:rFonts w:ascii="Palatino Linotype" w:hAnsi="Palatino Linotype"/>
          <w:i w:val="0"/>
          <w:sz w:val="18"/>
        </w:rPr>
        <w:t xml:space="preserve">Staiano, W., Sternberg, L. M., Ferri-Caruana, A., Salazar-Bonet, L. R., Romagnoli, M., Henriksen, K., &amp; Kirk, U. (2026).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(1), 91–99. https://doi.org/10.1016/j.jsams.2025.08.004</w:t>
      </w:r>
    </w:p>
    <w:p>
      <w:pPr>
        <w:spacing w:before="0" w:after="40" w:lineRule="exact" w:line="210"/>
        <w:ind w:left="340" w:hanging="340"/>
        <w:jc w:val="both"/>
      </w:pPr>
      <w:r>
        <w:rPr>
          <w:rFonts w:ascii="Palatino Linotype" w:hAnsi="Palatino Linotype"/>
          <w:i w:val="0"/>
          <w:sz w:val="18"/>
        </w:rPr>
        <w:t xml:space="preserve">Struzik, A., Nadobnik, J., &amp; Stępień-Słodkowska, M. (2026). TRIMP and session-RPE monitoring in elite women’s handball: a full-season descriptive analysis. </w:t>
      </w:r>
      <w:r>
        <w:rPr>
          <w:rFonts w:ascii="Palatino Linotype" w:hAnsi="Palatino Linotype"/>
          <w:i/>
          <w:sz w:val="18"/>
        </w:rPr>
        <w:t>Scientific Reports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23045. https://doi.org/10.1038/s41598-026-53134-x</w:t>
      </w:r>
    </w:p>
    <w:p>
      <w:pPr>
        <w:spacing w:before="0" w:after="40" w:lineRule="exact" w:line="210"/>
        <w:ind w:left="340" w:hanging="340"/>
        <w:jc w:val="both"/>
      </w:pPr>
      <w:r>
        <w:rPr>
          <w:rFonts w:ascii="Palatino Linotype" w:hAnsi="Palatino Linotype"/>
          <w:i w:val="0"/>
          <w:sz w:val="18"/>
        </w:rPr>
        <w:t xml:space="preserve">Styrkowiec, P., Czyż, S. H., Hyönä, J., Li, J., Oksama, L., &amp; Raś, M. (2024). Gaze Behavior and Cognitive Performance on Tasks of Multiple Object Tracking and Multiple Identity Tracking by Handball Players and Non-Athletes. </w:t>
      </w:r>
      <w:r>
        <w:rPr>
          <w:rFonts w:ascii="Palatino Linotype" w:hAnsi="Palatino Linotype"/>
          <w:i/>
          <w:sz w:val="18"/>
        </w:rPr>
        <w:t>Perceptual and Motor Skills</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(3), 818–842. https://doi.org/10.1177/00315125241235529</w:t>
      </w:r>
    </w:p>
    <w:p>
      <w:pPr>
        <w:spacing w:before="0" w:after="40" w:lineRule="exact" w:line="210"/>
        <w:ind w:left="340" w:hanging="340"/>
        <w:jc w:val="both"/>
      </w:pPr>
      <w:r>
        <w:rPr>
          <w:rFonts w:ascii="Palatino Linotype" w:hAnsi="Palatino Linotype"/>
          <w:i w:val="0"/>
          <w:sz w:val="18"/>
        </w:rPr>
        <w:t xml:space="preserve">Suárez Iglesias, D., Soto, D., Ayán, C., &amp; Martínez-de-Quel, Ó. (2023). The impact of covid-19 on healthy habits and psychological well-being of chilean female handball players.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 1–12. https://doi.org/10.17398/1885-7019.19.1</w:t>
      </w:r>
    </w:p>
    <w:p>
      <w:pPr>
        <w:spacing w:before="0" w:after="40" w:lineRule="exact" w:line="210"/>
        <w:ind w:left="340" w:hanging="340"/>
        <w:jc w:val="both"/>
      </w:pPr>
      <w:r>
        <w:rPr>
          <w:rFonts w:ascii="Palatino Linotype" w:hAnsi="Palatino Linotype"/>
          <w:i w:val="0"/>
          <w:sz w:val="18"/>
        </w:rPr>
        <w:t xml:space="preserve">Sánchez-Sáez, J. A., Morillo-Baro, J. P., Sánchez Malia, J. M., Lara Cobos, D., &amp; Arias-Estero, J. L. (2021a).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40" w:lineRule="exact" w:line="210"/>
        <w:ind w:left="340" w:hanging="340"/>
        <w:jc w:val="both"/>
      </w:pPr>
      <w:r>
        <w:rPr>
          <w:rFonts w:ascii="Palatino Linotype" w:hAnsi="Palatino Linotype"/>
          <w:i w:val="0"/>
          <w:sz w:val="18"/>
        </w:rPr>
        <w:t xml:space="preserve">Sánchez-Sáez, J. A., Sánchez-Sánchez, J., Martínez-Rodríguez, A., Felipe, J. L., García-Unanue, J., &amp; Lara-Cobos, D. (2021b).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850. https://doi.org/10.3390/s21030850</w:t>
      </w:r>
    </w:p>
    <w:p>
      <w:pPr>
        <w:spacing w:before="0" w:after="40" w:lineRule="exact" w:line="210"/>
        <w:ind w:left="340" w:hanging="340"/>
        <w:jc w:val="both"/>
      </w:pPr>
      <w:r>
        <w:rPr>
          <w:rFonts w:ascii="Palatino Linotype" w:hAnsi="Palatino Linotype"/>
          <w:i w:val="0"/>
          <w:sz w:val="18"/>
        </w:rPr>
        <w:t xml:space="preserve">Tomar, R., &amp; Allen, J. (2021). Effect of recreational handball on sleep, well-being and psychological characteristics in untrained males. </w:t>
      </w:r>
      <w:r>
        <w:rPr>
          <w:rFonts w:ascii="Palatino Linotype" w:hAnsi="Palatino Linotype"/>
          <w:i/>
          <w:sz w:val="18"/>
        </w:rPr>
        <w:t>Medical Sciences</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Toth, A. J., McNeill, E., Hayes, K., Moran, A. P., &amp; Campbell, M. (2020). Does mental practice still enhance performance? A 24 Year follow-up and meta-analytic replication and extension.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 101672. https://doi.org/10.1016/j.psychsport.2020.101672</w:t>
      </w:r>
    </w:p>
    <w:p>
      <w:pPr>
        <w:spacing w:before="0" w:after="40" w:lineRule="exact" w:line="210"/>
        <w:ind w:left="340" w:hanging="340"/>
        <w:jc w:val="both"/>
      </w:pPr>
      <w:r>
        <w:rPr>
          <w:rFonts w:ascii="Palatino Linotype" w:hAnsi="Palatino Linotype"/>
          <w:i w:val="0"/>
          <w:sz w:val="18"/>
        </w:rPr>
        <w:t xml:space="preserve">Trejo-Silva, A., Camacho-Cardenosa, A., Camacho-Cardenosa, M., González-Ramirez, A., &amp; Brazo-Sayavera, J. (2020).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RICYDE. Revista internacional de ciencias del deporte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(62), 396–409. https://doi.org/10.5232/ricyde2020.06205</w:t>
      </w:r>
    </w:p>
    <w:p>
      <w:pPr>
        <w:spacing w:before="0" w:after="40" w:lineRule="exact" w:line="210"/>
        <w:ind w:left="340" w:hanging="340"/>
        <w:jc w:val="both"/>
      </w:pPr>
      <w:r>
        <w:rPr>
          <w:rFonts w:ascii="Palatino Linotype" w:hAnsi="Palatino Linotype"/>
          <w:i w:val="0"/>
          <w:sz w:val="18"/>
        </w:rPr>
        <w:t xml:space="preserve">Trejo-Silva, A., Gomez-Ruano, M. A., Parmar, N., &amp; Brazo-Sayavera, J. (2025). Attacking performance analysis during 2-minute suspensions in female handball games at the Rio 2016 Olympic Games.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(1), 3–14. https://doi.org/10.26582/k.57.1.1</w:t>
      </w:r>
    </w:p>
    <w:p>
      <w:pPr>
        <w:spacing w:before="0" w:after="40" w:lineRule="exact" w:line="210"/>
        <w:ind w:left="340" w:hanging="340"/>
        <w:jc w:val="both"/>
      </w:pPr>
      <w:r>
        <w:rPr>
          <w:rFonts w:ascii="Palatino Linotype" w:hAnsi="Palatino Linotype"/>
          <w:i w:val="0"/>
          <w:sz w:val="18"/>
        </w:rPr>
        <w:t xml:space="preserve">Tricco, A. C., Lillie, E., Zarin, W., O'Brien, K. K., Colquhoun, H., Levac, D., Moher, D., Peters, M. D., Horsley, T., Weeks, L., Hempel, S., Akl, E. A., Chang, C., McGowan, J., Stewart, L., Hartling, L., Aldcroft, A., Wilson, M. G., Garritty, C., ... Straus, S. E. (2018). PRISMA Extension for Scoping Reviews (PRISMA-ScR): Checklist and Explanation. </w:t>
      </w:r>
      <w:r>
        <w:rPr>
          <w:rFonts w:ascii="Palatino Linotype" w:hAnsi="Palatino Linotype"/>
          <w:i/>
          <w:sz w:val="18"/>
        </w:rPr>
        <w:t>Annals of Internal Medicine</w:t>
      </w:r>
      <w:r>
        <w:rPr>
          <w:rFonts w:ascii="Palatino Linotype" w:hAnsi="Palatino Linotype"/>
          <w:i w:val="0"/>
          <w:sz w:val="18"/>
        </w:rPr>
        <w:t xml:space="preserve">, </w:t>
      </w:r>
      <w:r>
        <w:rPr>
          <w:rFonts w:ascii="Palatino Linotype" w:hAnsi="Palatino Linotype"/>
          <w:i/>
          <w:sz w:val="18"/>
        </w:rPr>
        <w:t>169</w:t>
      </w:r>
      <w:r>
        <w:rPr>
          <w:rFonts w:ascii="Palatino Linotype" w:hAnsi="Palatino Linotype"/>
          <w:i w:val="0"/>
          <w:sz w:val="18"/>
        </w:rPr>
        <w:t>(7), 467–473. https://doi.org/10.7326/m18-0850</w:t>
      </w:r>
    </w:p>
    <w:p>
      <w:pPr>
        <w:spacing w:before="0" w:after="40" w:lineRule="exact" w:line="210"/>
        <w:ind w:left="340" w:hanging="340"/>
        <w:jc w:val="both"/>
      </w:pPr>
      <w:r>
        <w:rPr>
          <w:rFonts w:ascii="Palatino Linotype" w:hAnsi="Palatino Linotype"/>
          <w:i w:val="0"/>
          <w:sz w:val="18"/>
        </w:rPr>
        <w:t xml:space="preserve">Truppel, R., D’Oliveira, A., Canale, L., Stabile, L., Buonanno, G., &amp; Andrade, A. (2025). Do Environmental Education Programs Reduce Pollution and Improve Air Quality? Impacts on Knowledge and Behavior Based on Evidence from a Mapping Review. </w:t>
      </w:r>
      <w:r>
        <w:rPr>
          <w:rFonts w:ascii="Palatino Linotype" w:hAnsi="Palatino Linotype"/>
          <w:i/>
          <w:sz w:val="18"/>
        </w:rPr>
        <w:t>Atmosphere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(11), 1229. https://doi.org/10.3390/atmos16111229</w:t>
      </w:r>
    </w:p>
    <w:p>
      <w:pPr>
        <w:spacing w:before="0" w:after="40" w:lineRule="exact" w:line="210"/>
        <w:ind w:left="340" w:hanging="340"/>
        <w:jc w:val="both"/>
      </w:pPr>
      <w:r>
        <w:rPr>
          <w:rFonts w:ascii="Palatino Linotype" w:hAnsi="Palatino Linotype"/>
          <w:i w:val="0"/>
          <w:sz w:val="18"/>
        </w:rPr>
        <w:t xml:space="preserve">Upadhyay, K., Phulkar, A., Yadav, S., Sharma, A., &amp; Terang, V. (2025). Enhancing Skill Performing Competency among Handball Players: Comparative Effects of Mental Imagery, Self-Talk, and Their Combination.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1371–1377. https://doi.org/10.17309/tmfv.2025.6.07</w:t>
      </w:r>
    </w:p>
    <w:p>
      <w:pPr>
        <w:spacing w:before="0" w:after="40" w:lineRule="exact" w:line="210"/>
        <w:ind w:left="340" w:hanging="340"/>
        <w:jc w:val="both"/>
      </w:pPr>
      <w:r>
        <w:rPr>
          <w:rFonts w:ascii="Palatino Linotype" w:hAnsi="Palatino Linotype"/>
          <w:i w:val="0"/>
          <w:sz w:val="18"/>
        </w:rPr>
        <w:t xml:space="preserve">van den Tillaar, R., &amp; Hope, C. (2023). Effect of difficulty of task on throwing performance and coping strategies in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40" w:lineRule="exact" w:line="210"/>
        <w:ind w:left="340" w:hanging="340"/>
        <w:jc w:val="both"/>
      </w:pPr>
      <w:r>
        <w:rPr>
          <w:rFonts w:ascii="Palatino Linotype" w:hAnsi="Palatino Linotype"/>
          <w:i w:val="0"/>
          <w:sz w:val="18"/>
        </w:rPr>
        <w:t xml:space="preserve">Vogel, L., &amp; Schack, T. (2023).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e0284941. https://doi.org/10.1371/journal.pone.0284941</w:t>
      </w:r>
    </w:p>
    <w:p>
      <w:pPr>
        <w:spacing w:before="0" w:after="40" w:lineRule="exact" w:line="210"/>
        <w:ind w:left="340" w:hanging="340"/>
        <w:jc w:val="both"/>
      </w:pPr>
      <w:r>
        <w:rPr>
          <w:rFonts w:ascii="Palatino Linotype" w:hAnsi="Palatino Linotype"/>
          <w:i w:val="0"/>
          <w:sz w:val="18"/>
        </w:rPr>
        <w:t xml:space="preserve">Wagner, H., Radic, V., &amp; Hinz, M. (2025). Differences in game-based performance by playing position in young elite male team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40" w:lineRule="exact" w:line="210"/>
        <w:ind w:left="340" w:hanging="340"/>
        <w:jc w:val="both"/>
      </w:pPr>
      <w:r>
        <w:rPr>
          <w:rFonts w:ascii="Palatino Linotype" w:hAnsi="Palatino Linotype"/>
          <w:i w:val="0"/>
          <w:sz w:val="18"/>
        </w:rPr>
        <w:t xml:space="preserve">Walsh, N. P., Halson, S. L., Sargent, C., Roach, G. D., Nédélec, M., Gupta, L., Leeder, J., Fullagar, H. H., Coutts, A. J., Edwards, B. J., Pullinger, S. A., Robertson, C. M., Burniston, J. G., Lastella, M., Le Meur, Y., Hausswirth, C., Bender, A. M., Grandner, M. A., &amp; Samuels, C. H. (2021). Sleep and the athlete: narrative review and 2021 expert consensus recommendations.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(7), 356–368. https://doi.org/10.1136/bjsports-2020-102025</w:t>
      </w:r>
    </w:p>
    <w:p>
      <w:pPr>
        <w:spacing w:before="0" w:after="40" w:lineRule="exact" w:line="210"/>
        <w:ind w:left="340" w:hanging="340"/>
        <w:jc w:val="both"/>
      </w:pPr>
      <w:r>
        <w:rPr>
          <w:rFonts w:ascii="Palatino Linotype" w:hAnsi="Palatino Linotype"/>
          <w:i w:val="0"/>
          <w:sz w:val="18"/>
        </w:rPr>
        <w:t xml:space="preserve">Wang, X., Sun, Z., Yuan, L., Dong, D., &amp; Dong, D. (2024). The association between team behaviors and competitive anxiety among team-handball players: the mediating role of achievement goals.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40" w:lineRule="exact" w:line="210"/>
        <w:ind w:left="340" w:hanging="340"/>
        <w:jc w:val="both"/>
      </w:pPr>
      <w:r>
        <w:rPr>
          <w:rFonts w:ascii="Palatino Linotype" w:hAnsi="Palatino Linotype"/>
          <w:i w:val="0"/>
          <w:sz w:val="18"/>
        </w:rPr>
        <w:t xml:space="preserve">Webster, K. E., &amp; Feller, J. A. (2022).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(9-10), 955–960. https://doi.org/10.4085/1062-6050-0543.21</w:t>
      </w:r>
    </w:p>
    <w:p>
      <w:pPr>
        <w:spacing w:before="0" w:after="40" w:lineRule="exact" w:line="210"/>
        <w:ind w:left="340" w:hanging="340"/>
        <w:jc w:val="both"/>
      </w:pPr>
      <w:r>
        <w:rPr>
          <w:rFonts w:ascii="Palatino Linotype" w:hAnsi="Palatino Linotype"/>
          <w:i w:val="0"/>
          <w:sz w:val="18"/>
        </w:rPr>
        <w:t xml:space="preserve">Weinberg, H., Müller, F., &amp; Cañal-Bruland, R. (2025). Context modulates evidence accumulation in split-second handball penalty decisions. </w:t>
      </w:r>
      <w:r>
        <w:rPr>
          <w:rFonts w:ascii="Palatino Linotype" w:hAnsi="Palatino Linotype"/>
          <w:i/>
          <w:sz w:val="18"/>
        </w:rPr>
        <w:t>Cognitive Research: Principles and Implications</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 2. https://doi.org/10.1186/s41235-025-00615-8</w:t>
      </w:r>
    </w:p>
    <w:p>
      <w:pPr>
        <w:spacing w:before="0" w:after="40" w:lineRule="exact" w:line="210"/>
        <w:ind w:left="340" w:hanging="340"/>
        <w:jc w:val="both"/>
      </w:pPr>
      <w:r>
        <w:rPr>
          <w:rFonts w:ascii="Palatino Linotype" w:hAnsi="Palatino Linotype"/>
          <w:i w:val="0"/>
          <w:sz w:val="18"/>
        </w:rPr>
        <w:t xml:space="preserve">Wilson, E. B. (1927). Probable Inference, the Law of Succession, and Statistical Inference. </w:t>
      </w:r>
      <w:r>
        <w:rPr>
          <w:rFonts w:ascii="Palatino Linotype" w:hAnsi="Palatino Linotype"/>
          <w:i/>
          <w:sz w:val="18"/>
        </w:rPr>
        <w:t>Journal of the American Statistical Association</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(158), 209–212. https://doi.org/10.1080/01621459.1927.10502953</w:t>
      </w:r>
    </w:p>
    <w:p>
      <w:pPr>
        <w:spacing w:before="0" w:after="40" w:lineRule="exact" w:line="210"/>
        <w:ind w:left="340" w:hanging="340"/>
        <w:jc w:val="both"/>
      </w:pPr>
      <w:r>
        <w:rPr>
          <w:rFonts w:ascii="Palatino Linotype" w:hAnsi="Palatino Linotype"/>
          <w:i w:val="0"/>
          <w:sz w:val="18"/>
        </w:rPr>
        <w:t xml:space="preserve">Wolf, S. A., &amp; Utesch, K. (2024).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40" w:lineRule="exact" w:line="210"/>
        <w:ind w:left="340" w:hanging="340"/>
        <w:jc w:val="both"/>
      </w:pPr>
      <w:r>
        <w:rPr>
          <w:rFonts w:ascii="Palatino Linotype" w:hAnsi="Palatino Linotype"/>
          <w:i w:val="0"/>
          <w:sz w:val="18"/>
        </w:rPr>
        <w:t>Yüksel, S., Debener, S., &amp; Schmidt, B. (2025). Collective Super Power: A Season-Long Study of Hypnosis to Enhance Confidence and Reduce Pre-competition Anxiety and Stress in Two Handball Teams. **. https://doi.org/10.20944/preprints202511.0158.v1</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