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mbria" w:cs="Cambria" w:eastAsia="Cambria" w:hAnsi="Cambria"/>
          <w:b/>
          <w:bCs/>
          <w:color w:val="122438"/>
          <w:sz w:val="28"/>
          <w:szCs w:val="28"/>
        </w:rPr>
        <w:t xml:space="preserve">Checklist STROBE — estudos observacionais</w:t>
      </w:r>
    </w:p>
    <w:p>
      <w:pPr>
        <w:pBdr>
          <w:bottom w:val="single" w:color="0E8C86" w:sz="8"/>
        </w:pBdr>
        <w:spacing w:after="160"/>
      </w:pPr>
      <w:r>
        <w:rPr>
          <w:sz w:val="2"/>
          <w:szCs w:val="2"/>
        </w:rPr>
        <w:t xml:space="preserve"/>
      </w:r>
    </w:p>
    <w:p>
      <w:pPr>
        <w:spacing w:after="200"/>
        <w:jc w:val="both"/>
      </w:pPr>
      <w:r>
        <w:rPr>
          <w:rFonts w:ascii="Calibri" w:cs="Calibri" w:eastAsia="Calibri" w:hAnsi="Calibri"/>
          <w:i/>
          <w:iCs/>
          <w:color w:val="5B6B82"/>
          <w:sz w:val="19"/>
          <w:szCs w:val="19"/>
        </w:rPr>
        <w:t xml:space="preserve">Mapeamento dos 22 itens da diretriz STROBE (STrengthening the Reporting of OBservational studies in Epidemiology) ao local em que cada item é atendido no pacote analítico BRUMS × HIIT. Itens entre colchetes dependem de informações administrativas do estudo a serem preenchidas pelo autor.</w:t>
      </w:r>
    </w:p>
    <w:tbl>
      <w:tblPr>
        <w:tblW w:type="dxa" w:w="9800"/>
        <w:tblBorders>
          <w:top w:val="single" w:color="D5DCE6" w:sz="2"/>
          <w:left w:val="none"/>
          <w:bottom w:val="single" w:color="D5DCE6" w:sz="2"/>
          <w:right w:val="none"/>
          <w:insideH w:val="single" w:color="D5DCE6" w:sz="2"/>
          <w:insideV w:val="none"/>
        </w:tblBorders>
      </w:tblPr>
      <w:tblGrid>
        <w:gridCol w:w="700"/>
        <w:gridCol w:w="5200"/>
        <w:gridCol w:w="3900"/>
      </w:tblGrid>
      <w:tr>
        <w:trPr>
          <w:tblHeader/>
        </w:trPr>
        <w:tc>
          <w:tcPr>
            <w:tcW w:type="dxa" w:w="700"/>
            <w:shd w:fill="12243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5200"/>
            <w:shd w:fill="12243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Recomendação STROBE</w:t>
            </w:r>
          </w:p>
        </w:tc>
        <w:tc>
          <w:tcPr>
            <w:tcW w:type="dxa" w:w="3900"/>
            <w:shd w:fill="12243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Onde é atendido no pacote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Título e resumo — desenho no título; resumo informativo e balanceado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Título indica "estudo observacional de medidas repetidas"; resumo estruturado no manuscrito (ARTIGO_AUDITADO.docx)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Introdução — contexto/justificativa científica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Introdução + revisão de literatura (PubMed) no manuscrito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Objetivos — hipóteses pré-especificadas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Seção "Objetivos revisados" do manuscrito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Desenho do estudo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Longitudinal observacional, medidas repetidas; §1 do Documento completo e figura de desenho analítico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Contexto — locais, datas, períodos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Microciclo de 7 dias (21–27/04/2024), clube de handebol de elite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Participantes — critérios de elegibilidade e seleção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27 atletas; funil de coletas (37 grafias → 27 atletas; 1 coleta fora da janela excluída → 456 obs.)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7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Variáveis — desfechos, exposições, preditores, confundidores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BRUMS (6 subescalas + PTH), fadiga/estado físico e mental; exposição = dia de HIIT; §2–3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8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Fontes de dados / mensuração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BRUMS validado (Rohlfs et al.); FC por frequencímetro; PSE (Foster); confiabilidade e invariância verificadas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9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Viés — tratamento de fontes de viés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Correção de pseudorreplicação (atleta como unidade); anonimização; auditoria célula a célula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10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Tamanho do estudo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27 atletas, 456 observações, 135 pares pré→pós; limitação de n discutida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11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Variáveis quantitativas — categorização/manuseio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Escores contínuos; efeito piso reportado; transformação log como análise de sensibilidade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12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Métodos estatísticos — modelos, subgrupos, dados faltantes, sensibilidade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Modelos mistos + FDR; MANOVA/PERMANOVA; Bayes; ROC; leave-one-athlete-out; permutação, log e exclusão de outlier (§ modelagem/, modelo_teorico/, perfil_variabilidade/)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13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Participantes — números em cada etapa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Funil descrito; n por dia e por momento nos módulos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14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Dados descritivos — características, dados faltantes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descritivas_testes/ (M, DP, mediana, IQR, assimetria, % piso, normalidade)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15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Dados de desfecho — eventos/medidas resumo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Tabelas de resposta aguda e acúmulo (modelagem/, estatistica_inferencial/)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16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Resultados principais — estimativas, IC, ajustes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β ± erro-padrão e IC95%; dz com IC bootstrap; R² marginal/condicional; ICC (modelo_teorico/)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17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Outras análises — subgrupos, interações, sensibilidade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Segmentação (tipologia), interação Condição×Momento, comparação entre dias (dias_hiit/), robustez (perfil_variabilidade/)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18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Resultados-chave — em relação aos objetivos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Síntese das três conclusões-âncora (Resultados e Discussão; Síntese dos achados)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19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Limitações — viés e imprecisão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n pequeno; ausência de duração de sessão (TRIMP relativo); sem escala dedicada de sono; discutidas no manuscrito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20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Interpretação — cautelosa e à luz da evidência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Discussão integrada; convergência de métodos; eixo energia–fadiga e individualidade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21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Generalização — validade externa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Atletas de handebol de elite; escopo e transferência discutidos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22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Financiamento — papel dos financiadores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[A preencher: fonte de financiamento / declaração de ausência]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i/>
          <w:iCs/>
          <w:color w:val="5B6B82"/>
          <w:sz w:val="16"/>
          <w:szCs w:val="16"/>
        </w:rPr>
        <w:t xml:space="preserve">Referência: von Elm E, et al. The Strengthening the Reporting of Observational Studies in Epidemiology (STROBE) statement. Lancet, 2007.</w:t>
      </w:r>
    </w:p>
    <w:sectPr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2026-07-31T18:31:57.076Z</dcterms:created>
  <dcterms:modified xsi:type="dcterms:W3CDTF">2026-07-31T18:31:57.076Z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