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Análise do perfil de humor em atletas de handebol de elite: os novos perfis e suas características</w:t>
      </w:r>
    </w:p>
    <w:p>
      <w:pPr>
        <w:spacing w:line="240" w:lineRule="auto" w:after="160"/>
        <w:ind w:firstLine="0"/>
        <w:jc w:val="center"/>
      </w:pPr>
      <w:r>
        <w:rPr>
          <w:rFonts w:ascii="Times New Roman" w:hAnsi="Times New Roman"/>
          <w:b w:val="0"/>
          <w:i/>
          <w:color w:val="000000"/>
          <w:sz w:val="20"/>
        </w:rPr>
        <w:t>Estudo descritivo em um microciclo pré-competitivo</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O perfil de humor é um dos instrumentos mais usados no acompanhamento psicológico de atletas, e a descrição de seis agrupamentos distintos renovou o campo a partir de 2017. Nenhum estudo aplicou esses agrupamentos ao handebol. Este estudo descreve a distribuição dos seis perfis em 27 atletas de handebol masculino de primeira divisão acompanhados por sete dias, caracteriza cada subescala da Escala de Humor de Brunel nesta população e estabelece percentis de referência para a modalidade. Os três perfis associados a risco à saúde mental somaram 19,9% das observações, valor próximo aos 26,5% da única amostra brasileira classificada pelo mesmo critério, que reúne os dois sexos e uma faixa etária mais ampla. O perfil superfície reuniu 56,8% das observações, 42,0 pontos percentuais acima da norma, excesso que decorre da padronização dentro da amostra na ausência de normas de escore da modalidade. Quatro das seis subescalas apresentaram efeito piso entre 49,6% e 80,5%, mais de três vezes o limite de 15%, o que restringe a margem de medida e faz o critério de Morgan superestimar o padrão favorável. Nenhuma subescala foi confiável em uma leitura isolada, com ICC entre 0,31 e 0,59, e todas passaram de 0,76 na média de sete dias. O estudo entrega a primeira descrição dos seis perfis em handebol e os primeiros percentis de referência do instrumento para a modalidade.</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humor; handebol; Escala de Humor de Brunel; perfil de humor; psicometria.</w:t>
      </w:r>
    </w:p>
    <w:p>
      <w:pPr>
        <w:pStyle w:val="Heading1"/>
      </w:pPr>
      <w:r>
        <w:t>1 INTRODUÇÃO</w:t>
      </w:r>
    </w:p>
    <w:p>
      <w:pPr>
        <w:spacing w:line="240" w:lineRule="auto" w:after="80"/>
        <w:ind w:firstLine="709"/>
        <w:jc w:val="both"/>
      </w:pPr>
      <w:r>
        <w:rPr>
          <w:rFonts w:ascii="Times New Roman" w:hAnsi="Times New Roman"/>
          <w:b w:val="0"/>
          <w:i w:val="0"/>
          <w:color w:val="000000"/>
          <w:sz w:val="24"/>
        </w:rPr>
        <w:t>O humor responde à carga de treino antes que o desempenho caia, tem custo de coleta baixo e por isso ocupa lugar central no monitoramento psicológico de atletas desde a descrição do padrão iceberg, em que o vigor supera as cinco subescalas negativas (Morgan, 1980). O modelo original opõe esse padrão favorável ao seu inverso, e essa dicotomia sustentou décadas de pesquisa. Ela tem, porém, um limite conhecido: o perfil iceberg é o padrão típico de atletas, bem-sucedidos ou não, e por isso discrimina desempenho menos do que se afirmou (Terry e Lane, 2000). Uma equipe apresenta, em uma mesma semana, estados que a oposição entre dois padrões não distingue.</w:t>
      </w:r>
    </w:p>
    <w:p>
      <w:pPr>
        <w:spacing w:line="240" w:lineRule="auto" w:after="80"/>
        <w:ind w:firstLine="709"/>
        <w:jc w:val="both"/>
      </w:pPr>
      <w:r>
        <w:rPr>
          <w:rFonts w:ascii="Times New Roman" w:hAnsi="Times New Roman"/>
          <w:b w:val="0"/>
          <w:i w:val="0"/>
          <w:color w:val="000000"/>
          <w:sz w:val="24"/>
        </w:rPr>
        <w:t>A análise de agrupamento sobre as seis subescalas da Escala de Humor de Brunel identificou seis perfis distintos e teoricamente interpretáveis: iceberg, superfície, submerso, barbatana de tubarão, iceberg invertido e Everest invertido (Parsons-Smith, Terry e Machin, 2017). Os três últimos associam-se a graus crescentes de risco à saúde mental. Os seis perfis foram replicados em contexto esportivo geral (Quartiroli e outros, 2018), em amostras de países distintos (Han e outros, 2020) e, com a versão brasileira do instrumento, em 898 atletas de elite e de base de um clube do Rio de Janeiro, entre os quais 26,5% apresentaram um dos três perfis de risco (Rohlfs, Noce e Wilke, 2024).</w:t>
      </w:r>
    </w:p>
    <w:p>
      <w:pPr>
        <w:spacing w:line="240" w:lineRule="auto" w:after="80"/>
        <w:ind w:firstLine="709"/>
        <w:jc w:val="both"/>
      </w:pPr>
      <w:r>
        <w:rPr>
          <w:rFonts w:ascii="Times New Roman" w:hAnsi="Times New Roman"/>
          <w:b w:val="0"/>
          <w:i w:val="0"/>
          <w:color w:val="000000"/>
          <w:sz w:val="24"/>
        </w:rPr>
        <w:t>O handebol permanece fora desse mapa. O levantamento que conduzimos sobre a produção internacional em psicologia do esporte no handebol entre 2006 e 2026 reúne 525 estudos, dos quais 32 aferem humor ou afeto, apenas um com desenho longitudinal, e nenhum aplica os seis perfis. O precedente mais próximo acompanha medidas biológicas e psicológicas ao longo de uma temporada em handebolistas, com o instrumento anterior e sem classificação por perfil (Bresciani e outros, 2010). Falta também o pressuposto de qualquer classificação: existem normas de escore para amostras esportivas em geral (Terry e Lane, 2000), mas nenhuma específica do handebol.</w:t>
      </w:r>
    </w:p>
    <w:p>
      <w:pPr>
        <w:spacing w:line="240" w:lineRule="auto" w:after="80"/>
        <w:ind w:firstLine="709"/>
        <w:jc w:val="both"/>
      </w:pPr>
      <w:r>
        <w:rPr>
          <w:rFonts w:ascii="Times New Roman" w:hAnsi="Times New Roman"/>
          <w:b w:val="0"/>
          <w:i w:val="0"/>
          <w:color w:val="000000"/>
          <w:sz w:val="24"/>
        </w:rPr>
        <w:t>Este estudo tem três objetivos. O primeiro é descrever a distribuição dos seis perfis de humor em atletas de handebol masculino de elite. O segundo é caracterizar o comportamento de cada subescala nesta população, com atenção ao efeito piso e à estabilidade da medida entre dias. O terceiro é estabelecer percentis de referência da modalidade, que é o que permite classificar observações futuras sem dependência da própria amostra.</w:t>
      </w:r>
    </w:p>
    <w:p>
      <w:pPr>
        <w:pStyle w:val="Heading1"/>
      </w:pPr>
      <w:r>
        <w:t>2 MÉTODO</w:t>
      </w:r>
    </w:p>
    <w:p>
      <w:pPr>
        <w:pStyle w:val="Heading2"/>
      </w:pPr>
      <w:r>
        <w:t>2.1 Participantes e delineamento</w:t>
      </w:r>
    </w:p>
    <w:p>
      <w:pPr>
        <w:spacing w:line="240" w:lineRule="auto" w:after="80"/>
        <w:ind w:firstLine="709"/>
        <w:jc w:val="both"/>
      </w:pPr>
      <w:r>
        <w:rPr>
          <w:rFonts w:ascii="Times New Roman" w:hAnsi="Times New Roman"/>
          <w:b w:val="0"/>
          <w:i w:val="0"/>
          <w:color w:val="000000"/>
          <w:sz w:val="24"/>
        </w:rPr>
        <w:t>Participaram 27 atletas de handebol masculino de primeira divisão, com 22,2 ± 3,7 (17,8 a 38,2) anos de idade e 11,3 ± 3,2 anos de experiência na modalidade, distribuídos por posição em armadores 44%, pivôs 33%, alas 22%. 19 atletas (70%) completaram as sete coletas. O delineamento é observacional e descritivo, com medidas repetidas intraindividuais ao longo do microciclo de sete dias que antecede a competição. A unidade de análise é a observação diária, e não o atleta, porque o perfil de humor é um estado e não um traço.</w:t>
      </w:r>
    </w:p>
    <w:p>
      <w:pPr>
        <w:spacing w:line="240" w:lineRule="auto" w:after="80"/>
        <w:ind w:firstLine="709"/>
        <w:jc w:val="both"/>
      </w:pPr>
      <w:r>
        <w:rPr>
          <w:rFonts w:ascii="Times New Roman" w:hAnsi="Times New Roman"/>
          <w:b w:val="0"/>
          <w:i w:val="0"/>
          <w:color w:val="000000"/>
          <w:sz w:val="24"/>
        </w:rPr>
        <w:t>O estudo foi aprovado pelo comitê de ética em pesquisa da instituição sob o protocolo [inserir número do CAAE], e todos os participantes assinaram termo de consentimento livre e esclarecido. O número de observações válidas, com o fluxo de atletas por dia e por coleta, consta do material suplementar.</w:t>
      </w:r>
    </w:p>
    <w:p>
      <w:pPr>
        <w:pStyle w:val="Heading2"/>
      </w:pPr>
      <w:r>
        <w:t>2.2 Instrumento</w:t>
      </w:r>
    </w:p>
    <w:p>
      <w:pPr>
        <w:spacing w:line="240" w:lineRule="auto" w:after="80"/>
        <w:ind w:firstLine="709"/>
        <w:jc w:val="both"/>
      </w:pPr>
      <w:r>
        <w:rPr>
          <w:rFonts w:ascii="Times New Roman" w:hAnsi="Times New Roman"/>
          <w:b w:val="0"/>
          <w:i w:val="0"/>
          <w:color w:val="000000"/>
          <w:sz w:val="24"/>
        </w:rPr>
        <w:t>O humor foi aferido pela versão brasileira da Escala de Humor de Brunel, com 24 itens em escala Likert de cinco pontos e seis subescalas de 0 a 16 pontos: tensão, depressão, raiva, vigor, fadiga e confusão. A instrução de resposta foi a de momento presente, e não a de semana anterior, o que importa para a comparação com outros estudos: o mesmo instrumento produz escores mais altos sob a instrução retrospectiva (Rohlfs, Noce e Wilke, 2024). A Perturbação Total do Humor resume o perfil pela soma das cinco subescalas negativas menos o vigor, de modo que valores menores indicam humor mais favorável.</w:t>
      </w:r>
    </w:p>
    <w:p>
      <w:pPr>
        <w:pStyle w:val="Heading2"/>
      </w:pPr>
      <w:r>
        <w:t>2.3 Classificação dos perfis</w:t>
      </w:r>
    </w:p>
    <w:p>
      <w:pPr>
        <w:spacing w:line="240" w:lineRule="auto" w:after="80"/>
        <w:ind w:firstLine="709"/>
        <w:jc w:val="both"/>
      </w:pPr>
      <w:r>
        <w:rPr>
          <w:rFonts w:ascii="Times New Roman" w:hAnsi="Times New Roman"/>
          <w:b w:val="0"/>
          <w:i w:val="0"/>
          <w:color w:val="000000"/>
          <w:sz w:val="24"/>
        </w:rPr>
        <w:t>O procedimento original padroniza as seis subescalas em escore T, aplica análise de agrupamento hierárquica aglomerativa com distância euclidiana quadrática pelo método de Ward para fixar o número de agrupamentos, refina as fronteiras por k-médias e confirma a classificação por análise discriminante. A solução de seis agrupamentos foi verificada por inspeção do gráfico de sedimentação (Parsons-Smith, Terry e Machin, 2017).</w:t>
      </w:r>
    </w:p>
    <w:p>
      <w:pPr>
        <w:spacing w:line="240" w:lineRule="auto" w:after="80"/>
        <w:ind w:firstLine="709"/>
        <w:jc w:val="both"/>
      </w:pPr>
      <w:r>
        <w:rPr>
          <w:rFonts w:ascii="Times New Roman" w:hAnsi="Times New Roman"/>
          <w:b w:val="0"/>
          <w:i w:val="0"/>
          <w:color w:val="000000"/>
          <w:sz w:val="24"/>
        </w:rPr>
        <w:t>Nesta amostra não há normas de escore T para handebol de elite, e o tamanho amostral não comporta a análise de agrupamento original. As seis subescalas foram, portanto, padronizadas dentro da própria amostra, e cada observação foi atribuída ao centroide canônico mais próximo pela distância euclidiana sobre as seis dimensões padronizadas. Essa decisão está declarada aqui porque afeta diretamente a prevalência relatada na seção 3.3, e é discutida na seção 4. Em paralelo, o critério de Morgan foi aplicado a cada observação: há perfil iceberg quando o vigor supera todas as cinco subescalas negativas.</w:t>
      </w:r>
    </w:p>
    <w:p>
      <w:pPr>
        <w:pStyle w:val="Heading2"/>
      </w:pPr>
      <w:r>
        <w:t>2.4 Análise</w:t>
      </w:r>
    </w:p>
    <w:p>
      <w:pPr>
        <w:spacing w:line="240" w:lineRule="auto" w:after="80"/>
        <w:ind w:firstLine="709"/>
        <w:jc w:val="both"/>
      </w:pPr>
      <w:r>
        <w:rPr>
          <w:rFonts w:ascii="Times New Roman" w:hAnsi="Times New Roman"/>
          <w:b w:val="0"/>
          <w:i w:val="0"/>
          <w:color w:val="000000"/>
          <w:sz w:val="24"/>
        </w:rPr>
        <w:t>As subescalas foram descritas por média, desvio-padrão, mediana, intervalo interquartil, assimetria, curtose e percentual de respostas no valor mínimo. Considera-se presente o efeito piso quando mais de 15% das respostas caem no valor mínimo possível (Terwee e outros, 2007). A confiabilidade interna foi estimada pelo alfa de Cronbach, pelo alfa e pelo ômega ordinais sobre matriz policórica e pelo método das duas metades. A estabilidade entre dias foi estimada pelo coeficiente de correlação intraclasse de uma coleta e da média de sete dias, esta pela fórmula de Spearman e Brown. A estrutura de seis fatores foi testada por análise fatorial confirmatória com estimador robusto para dados ordinais e erro-padrão agrupado por atleta. As análises foram conduzidas em R, com os pacotes psych, lavaan e semTools. Não houve imputação: cada análise usa as observações disponíveis, e o denominador de cada estimativa está declarado na nota da tabela correspondente.</w:t>
      </w:r>
    </w:p>
    <w:p>
      <w:pPr>
        <w:pStyle w:val="Heading1"/>
      </w:pPr>
      <w:r>
        <w:t>3 RESULTADOS</w:t>
      </w:r>
    </w:p>
    <w:p>
      <w:pPr>
        <w:pStyle w:val="Heading2"/>
      </w:pPr>
      <w:r>
        <w:t>3.1 Distribuição das subescalas</w:t>
      </w:r>
    </w:p>
    <w:p>
      <w:pPr>
        <w:spacing w:line="240" w:lineRule="auto" w:after="80"/>
        <w:ind w:firstLine="709"/>
        <w:jc w:val="both"/>
      </w:pPr>
      <w:r>
        <w:rPr>
          <w:rFonts w:ascii="Times New Roman" w:hAnsi="Times New Roman"/>
          <w:b w:val="0"/>
          <w:i w:val="0"/>
          <w:color w:val="000000"/>
          <w:sz w:val="24"/>
        </w:rPr>
        <w:t>As seis subescalas se dividem em dois blocos claros (Tabela 1). Vigor e fadiga ocupam a faixa central da escala, com médias de 5,70 e 5,65 pontos, assimetria próxima de zero e piso abaixo de 9%. Tensão, depressão, raiva e confusão ficam junto ao mínimo, com médias entre 0,45 e 1,60 ponto, assimetria de até 3,73 e curtose de até 16,96.</w:t>
      </w:r>
    </w:p>
    <w:p>
      <w:pPr>
        <w:spacing w:line="240" w:lineRule="auto" w:after="60"/>
        <w:ind w:firstLine="0"/>
        <w:jc w:val="left"/>
      </w:pPr>
      <w:r>
        <w:rPr>
          <w:rFonts w:ascii="Times New Roman" w:hAnsi="Times New Roman"/>
          <w:b w:val="0"/>
          <w:i w:val="0"/>
          <w:color w:val="000000"/>
          <w:sz w:val="20"/>
        </w:rPr>
        <w:t>Tabela 1 - Caracterização das seis subescalas do BRUMS e da Perturbação Total do Humor nesta amostra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Média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Desvio-padrão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Mediana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Intervalo interquartil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Assimetria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Curtose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9,64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49,60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67,10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59,60</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0,45</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16,96</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80,50</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PTH é a Perturbação Total do Humor, calculada pela soma das cinco subescalas negativas menos o vigor. Subescalas de 0 a 16 pontos. Piso é o percentual de respostas no valor mínimo da subescala. Assimetria acima de 2 e curtose acima de 7 indicam afastamento grave da normalidade. Fonte primária: Tabela 3 do relatório completo.</w:t>
      </w:r>
    </w:p>
    <w:p>
      <w:pPr>
        <w:spacing w:line="240" w:lineRule="auto" w:after="60"/>
        <w:ind w:firstLine="0"/>
        <w:jc w:val="left"/>
      </w:pPr>
      <w:r>
        <w:rPr>
          <w:rFonts w:ascii="Times New Roman" w:hAnsi="Times New Roman"/>
          <w:b w:val="0"/>
          <w:i w:val="0"/>
          <w:color w:val="000000"/>
          <w:sz w:val="20"/>
        </w:rPr>
        <w:t>Figura 1 - Distribuição observada de cada subescala por percentis (A) e percentual de respostas no valor mínimo da escala (B)</w:t>
      </w:r>
    </w:p>
    <w:p>
      <w:pPr>
        <w:spacing w:after="40"/>
        <w:jc w:val="center"/>
      </w:pPr>
      <w:r>
        <w:drawing>
          <wp:inline xmlns:a="http://schemas.openxmlformats.org/drawingml/2006/main" xmlns:pic="http://schemas.openxmlformats.org/drawingml/2006/picture">
            <wp:extent cx="5760000" cy="2319843"/>
            <wp:docPr id="1" name="Picture 1"/>
            <wp:cNvGraphicFramePr>
              <a:graphicFrameLocks noChangeAspect="1"/>
            </wp:cNvGraphicFramePr>
            <a:graphic>
              <a:graphicData uri="http://schemas.openxmlformats.org/drawingml/2006/picture">
                <pic:pic>
                  <pic:nvPicPr>
                    <pic:cNvPr id="0" name="a1_distribuicao.png"/>
                    <pic:cNvPicPr/>
                  </pic:nvPicPr>
                  <pic:blipFill>
                    <a:blip r:embed="rId9"/>
                    <a:stretch>
                      <a:fillRect/>
                    </a:stretch>
                  </pic:blipFill>
                  <pic:spPr>
                    <a:xfrm>
                      <a:off x="0" y="0"/>
                      <a:ext cx="5760000" cy="2319843"/>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mostra o alcance do problema. Em confusão, o percentil 75 ainda é zero: três quartos das observações estão no mínimo da escala. Em depressão e raiva, o percentil 50 é zero. Quatro das seis subescalas ficam entre 49,6% e 80,5% de respostas no piso, mais de três vezes o limite de 15% a partir do qual o efeito é considerado presente (Terwee e outros, 2007), o que significa que elas não têm margem para registrar aumento de sintoma nesta população. Os percentis observados de todas as subescalas estão na Tabela 2.</w:t>
      </w:r>
    </w:p>
    <w:p>
      <w:pPr>
        <w:spacing w:line="240" w:lineRule="auto" w:after="60"/>
        <w:ind w:firstLine="0"/>
        <w:jc w:val="left"/>
      </w:pPr>
      <w:r>
        <w:rPr>
          <w:rFonts w:ascii="Times New Roman" w:hAnsi="Times New Roman"/>
          <w:b w:val="0"/>
          <w:i w:val="0"/>
          <w:color w:val="000000"/>
          <w:sz w:val="20"/>
        </w:rPr>
        <w:t>Tabela 2 - Percentis de referência das subescalas do BRUMS para atletas de handebol masculino de elite</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P25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P50</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P75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P95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percentis observados sobre todas as coletas do microciclo. Na ausência de normas de escore T para handebol, estes percentis servem de referência provisória para a modalidade e substituem, para uso aplicado, a comparação com normas de população geral. Fonte primária: Tabela 74 do relatório completo.</w:t>
      </w:r>
    </w:p>
    <w:p>
      <w:pPr>
        <w:pStyle w:val="Heading2"/>
      </w:pPr>
      <w:r>
        <w:t>3.2 Propriedades da medida</w:t>
      </w:r>
    </w:p>
    <w:p>
      <w:pPr>
        <w:spacing w:line="240" w:lineRule="auto" w:after="80"/>
        <w:ind w:firstLine="709"/>
        <w:jc w:val="both"/>
      </w:pPr>
      <w:r>
        <w:rPr>
          <w:rFonts w:ascii="Times New Roman" w:hAnsi="Times New Roman"/>
          <w:b w:val="0"/>
          <w:i w:val="0"/>
          <w:color w:val="000000"/>
          <w:sz w:val="24"/>
        </w:rPr>
        <w:t>A consistência interna é alta em depressão e raiva, com ômega ordinal de 0,94 e 0,93, adequada em fadiga e vigor e insuficiente em tensão, com alfa de 0,43 (Tabela 3). Em confusão e tensão a matriz policórica não convergiu, o que é consequência direta do efeito piso: sem variação nas respostas não há covariância para estimar.</w:t>
      </w:r>
    </w:p>
    <w:p>
      <w:pPr>
        <w:spacing w:line="240" w:lineRule="auto" w:after="60"/>
        <w:ind w:firstLine="0"/>
        <w:jc w:val="left"/>
      </w:pPr>
      <w:r>
        <w:rPr>
          <w:rFonts w:ascii="Times New Roman" w:hAnsi="Times New Roman"/>
          <w:b w:val="0"/>
          <w:i w:val="0"/>
          <w:color w:val="000000"/>
          <w:sz w:val="20"/>
        </w:rPr>
        <w:t>Tabela 3 - Confiabilidade interna e estabilidade entre dias de cada subescala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Ômega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Duas metades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Item-total mínimo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de uma coleta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da média de sete dias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0,79</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n.e. indica coeficiente não estimável, porque a matriz policórica não convergiu nas subescalas com efeito piso extremo. O ICC de uma coleta é o ICC(1,1) e o da média de sete dias é o ICC(1,7), obtido pela fórmula de Spearman e Brown. Fonte primária: Tabelas 6 e 7 do relatório completo.</w:t>
      </w:r>
    </w:p>
    <w:p>
      <w:pPr>
        <w:spacing w:line="240" w:lineRule="auto" w:after="60"/>
        <w:ind w:firstLine="0"/>
        <w:jc w:val="left"/>
      </w:pPr>
      <w:r>
        <w:rPr>
          <w:rFonts w:ascii="Times New Roman" w:hAnsi="Times New Roman"/>
          <w:b w:val="0"/>
          <w:i w:val="0"/>
          <w:color w:val="000000"/>
          <w:sz w:val="20"/>
        </w:rPr>
        <w:t>Figura 2 - Consistência interna de cada subescala (A) e ganho de estabilidade da média de sete dias sobre a coleta isolada (B)</w:t>
      </w:r>
    </w:p>
    <w:p>
      <w:pPr>
        <w:spacing w:after="40"/>
        <w:jc w:val="center"/>
      </w:pPr>
      <w:r>
        <w:drawing>
          <wp:inline xmlns:a="http://schemas.openxmlformats.org/drawingml/2006/main" xmlns:pic="http://schemas.openxmlformats.org/drawingml/2006/picture">
            <wp:extent cx="5760000" cy="2186876"/>
            <wp:docPr id="2" name="Picture 2"/>
            <wp:cNvGraphicFramePr>
              <a:graphicFrameLocks noChangeAspect="1"/>
            </wp:cNvGraphicFramePr>
            <a:graphic>
              <a:graphicData uri="http://schemas.openxmlformats.org/drawingml/2006/picture">
                <pic:pic>
                  <pic:nvPicPr>
                    <pic:cNvPr id="0" name="a1_psicometria.png"/>
                    <pic:cNvPicPr/>
                  </pic:nvPicPr>
                  <pic:blipFill>
                    <a:blip r:embed="rId10"/>
                    <a:stretch>
                      <a:fillRect/>
                    </a:stretch>
                  </pic:blipFill>
                  <pic:spPr>
                    <a:xfrm>
                      <a:off x="0" y="0"/>
                      <a:ext cx="5760000" cy="218687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B da Figura 2 traz o achado de maior consequência prática. Nenhuma subescala atinge 0,60 de estabilidade em uma coleta isolada, e todas passam de 0,76 na média de sete dias. Uma leitura isolada do instrumento não descreve o atleta de forma confiável nesta população; a média semanal descreve.</w:t>
      </w:r>
    </w:p>
    <w:p>
      <w:pPr>
        <w:spacing w:line="240" w:lineRule="auto" w:after="80"/>
        <w:ind w:firstLine="709"/>
        <w:jc w:val="both"/>
      </w:pPr>
      <w:r>
        <w:rPr>
          <w:rFonts w:ascii="Times New Roman" w:hAnsi="Times New Roman"/>
          <w:b w:val="0"/>
          <w:i w:val="0"/>
          <w:color w:val="000000"/>
          <w:sz w:val="24"/>
        </w:rPr>
        <w:t>A estrutura de seis fatores ajustou bem aos dados (CFI = 0,960; RMSEA = 0,027). A correlação entre os fatores (Tabela 4) mostra vigor e fadiga com 0,67, o valor mais alto do bloco energético, e confusão com tensão em 0,75, o mais alto do bloco de afeto negativo.</w:t>
      </w:r>
    </w:p>
    <w:p>
      <w:pPr>
        <w:spacing w:line="240" w:lineRule="auto" w:after="60"/>
        <w:ind w:firstLine="0"/>
        <w:jc w:val="left"/>
      </w:pPr>
      <w:r>
        <w:rPr>
          <w:rFonts w:ascii="Times New Roman" w:hAnsi="Times New Roman"/>
          <w:b w:val="0"/>
          <w:i w:val="0"/>
          <w:color w:val="000000"/>
          <w:sz w:val="20"/>
        </w:rPr>
        <w:t>Tabela 4 - Correlação entre as seis subescalas do BRUMS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Depressão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Raiva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Vigor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Fadiga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correlações entre os fatores da análise fatorial confirmatória, que ajustou bem ao modelo de seis fatores (CFI = 0,960; RMSEA = 0,027). O valor de 0,67 entre vigor e fadiga é o mais alto do bloco energético e sustenta a leitura de eixo bipolar. Fonte primária: Tabelas 10 e 11 do relatório completo.</w:t>
      </w:r>
    </w:p>
    <w:p>
      <w:pPr>
        <w:pStyle w:val="Heading2"/>
      </w:pPr>
      <w:r>
        <w:t>3.3 Prevalência dos perfis</w:t>
      </w:r>
    </w:p>
    <w:p>
      <w:pPr>
        <w:spacing w:line="240" w:lineRule="auto" w:after="80"/>
        <w:ind w:firstLine="709"/>
        <w:jc w:val="both"/>
      </w:pPr>
      <w:r>
        <w:rPr>
          <w:rFonts w:ascii="Times New Roman" w:hAnsi="Times New Roman"/>
          <w:b w:val="0"/>
          <w:i w:val="0"/>
          <w:color w:val="000000"/>
          <w:sz w:val="24"/>
        </w:rPr>
        <w:t>O perfil superfície reúne 56,8% das observações, seguido do iceberg com 13,8%, do submerso com 9,4%, do iceberg invertido com 9,0%, da barbatana de tubarão com 7,2% e do Everest invertido com 3,7% (Tabela 5). Os três perfis associados a risco à saúde mental, isto é, barbatana de tubarão, iceberg invertido e Everest invertido, somam 19,9% das observações.</w:t>
      </w:r>
    </w:p>
    <w:p>
      <w:pPr>
        <w:spacing w:line="240" w:lineRule="auto" w:after="60"/>
        <w:ind w:firstLine="0"/>
        <w:jc w:val="left"/>
      </w:pPr>
      <w:r>
        <w:rPr>
          <w:rFonts w:ascii="Times New Roman" w:hAnsi="Times New Roman"/>
          <w:b w:val="0"/>
          <w:i w:val="0"/>
          <w:color w:val="000000"/>
          <w:sz w:val="20"/>
        </w:rPr>
        <w:t>Tabela 5 - Os seis perfis de humor: definição, prevalência normativa e prevalência nesta amostra</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w:t>
            </w:r>
          </w:p>
        </w:tc>
        <w:tc>
          <w:tcPr>
            <w:tcW w:type="dxa" w:w="181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Definição pelo padrão das seis subescalas</w:t>
            </w:r>
          </w:p>
        </w:tc>
        <w:tc>
          <w:tcPr>
            <w:tcW w:type="dxa" w:w="181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Norma (%)</w:t>
            </w:r>
          </w:p>
        </w:tc>
        <w:tc>
          <w:tcPr>
            <w:tcW w:type="dxa" w:w="181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Amostra (%)</w:t>
            </w:r>
          </w:p>
        </w:tc>
        <w:tc>
          <w:tcPr>
            <w:tcW w:type="dxa" w:w="181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Diferença (p.p.)</w:t>
            </w:r>
          </w:p>
        </w:tc>
      </w:tr>
      <w:tr>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Vigor alto; tensão, depressão, raiva, fadiga e confusão baixas</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29,4</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13,8</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−15,6</w:t>
            </w:r>
          </w:p>
        </w:tc>
      </w:tr>
      <w:tr>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As seis subescalas abaixo da média, o vigor incluído</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25,5</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9,4</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−16,1</w:t>
            </w:r>
          </w:p>
        </w:tc>
      </w:tr>
      <w:tr>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vigor mais baixo de todos os perfis, com fadiga superior à de qualquer outro perfil exceto o Everest invertido</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17,3</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7,2</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−10,1</w:t>
            </w:r>
          </w:p>
        </w:tc>
      </w:tr>
      <w:tr>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As seis subescalas próximas da média</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14,8</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56,8</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+42,0</w:t>
            </w:r>
          </w:p>
        </w:tc>
      </w:tr>
      <w:tr>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Vigor baixo com tensão, depressão, raiva, fadiga e confusão altas</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10,3</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9,0</w:t>
            </w:r>
          </w:p>
        </w:tc>
        <w:tc>
          <w:tcPr>
            <w:tcW w:type="dxa" w:w="181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w:t>
            </w:r>
          </w:p>
        </w:tc>
      </w:tr>
      <w:tr>
        <w:tc>
          <w:tcPr>
            <w:tcW w:type="dxa" w:w="181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181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Vigor baixo, tensão e fadiga altas, e depressão, raiva e confusão muito altas</w:t>
            </w:r>
          </w:p>
        </w:tc>
        <w:tc>
          <w:tcPr>
            <w:tcW w:type="dxa" w:w="181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181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3,7</w:t>
            </w:r>
          </w:p>
        </w:tc>
        <w:tc>
          <w:tcPr>
            <w:tcW w:type="dxa" w:w="181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e prevalências normativas conforme a amostra A de Parsons-Smith, Terry e Machin (2017), sobre escores T de população geral. A prevalência desta amostra usa padronização dentro da própria amostra, na ausência de normas de escore T para handebol, e por isso a coluna de diferença mede efeito de método antes de medir efeito de população.</w:t>
      </w:r>
    </w:p>
    <w:p>
      <w:pPr>
        <w:spacing w:line="240" w:lineRule="auto" w:after="60"/>
        <w:ind w:firstLine="0"/>
        <w:jc w:val="left"/>
      </w:pPr>
      <w:r>
        <w:rPr>
          <w:rFonts w:ascii="Times New Roman" w:hAnsi="Times New Roman"/>
          <w:b w:val="0"/>
          <w:i w:val="0"/>
          <w:color w:val="000000"/>
          <w:sz w:val="20"/>
        </w:rPr>
        <w:t>Figura 3 - Prevalência de cada perfil na amostra normativa e nesta amostra (A) e efeito da padronização interna sobre essa prevalência (B)</w:t>
      </w:r>
    </w:p>
    <w:p>
      <w:pPr>
        <w:spacing w:after="40"/>
        <w:jc w:val="center"/>
      </w:pPr>
      <w:r>
        <w:drawing>
          <wp:inline xmlns:a="http://schemas.openxmlformats.org/drawingml/2006/main" xmlns:pic="http://schemas.openxmlformats.org/drawingml/2006/picture">
            <wp:extent cx="5760000" cy="2207492"/>
            <wp:docPr id="3" name="Picture 3"/>
            <wp:cNvGraphicFramePr>
              <a:graphicFrameLocks noChangeAspect="1"/>
            </wp:cNvGraphicFramePr>
            <a:graphic>
              <a:graphicData uri="http://schemas.openxmlformats.org/drawingml/2006/picture">
                <pic:pic>
                  <pic:nvPicPr>
                    <pic:cNvPr id="0" name="fig_prevalencia.png"/>
                    <pic:cNvPicPr/>
                  </pic:nvPicPr>
                  <pic:blipFill>
                    <a:blip r:embed="rId11"/>
                    <a:stretch>
                      <a:fillRect/>
                    </a:stretch>
                  </pic:blipFill>
                  <pic:spPr>
                    <a:xfrm>
                      <a:off x="0" y="0"/>
                      <a:ext cx="5760000" cy="2207492"/>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diferença mais visível é o excesso de perfil superfície, 42,0 pontos percentuais acima da norma, com déficit correspondente nos perfis iceberg, submerso e barbatana de tubarão. Essa diferença não é achado clínico: ela decorre da padronização dentro da amostra, que coloca a média do próprio grupo na linha de água e comprime todas as observações em direção ao centro. Os dois perfis mais negativos, iceberg invertido e Everest invertido, ficam a 1,3 e a 1,0 ponto percentual da norma, o que sugere que a compressão atinge sobretudo os perfis intermediários e preserva os extremos negativos.</w:t>
      </w:r>
    </w:p>
    <w:p>
      <w:pPr>
        <w:spacing w:line="240" w:lineRule="auto" w:after="80"/>
        <w:ind w:firstLine="709"/>
        <w:jc w:val="both"/>
      </w:pPr>
      <w:r>
        <w:rPr>
          <w:rFonts w:ascii="Times New Roman" w:hAnsi="Times New Roman"/>
          <w:b w:val="0"/>
          <w:i w:val="0"/>
          <w:color w:val="000000"/>
          <w:sz w:val="24"/>
        </w:rPr>
        <w:t>Os dois critérios de classificação não concordam entre si, e a diferença é grande. No primeiro dia, o critério de Morgan classifica 71,4% das observações como perfil iceberg, contra 21,4% pelo critério de Parsons-Smith (Tabela 6). A discrepância é esperada e decorre da definição: o critério de Morgan exige apenas que o vigor supere as cinco subescalas negativas, condição que quatro subescalas presas ao piso tornam fácil de satisfazer, enquanto o critério de Parsons-Smith exige proximidade a um centroide específico das seis dimensões. Em uma população com efeito piso acentuado, o critério de Morgan superestima a prevalência do padrão favorável.</w:t>
      </w:r>
    </w:p>
    <w:p>
      <w:pPr>
        <w:spacing w:line="240" w:lineRule="auto" w:after="60"/>
        <w:ind w:firstLine="0"/>
        <w:jc w:val="left"/>
      </w:pPr>
      <w:r>
        <w:rPr>
          <w:rFonts w:ascii="Times New Roman" w:hAnsi="Times New Roman"/>
          <w:b w:val="0"/>
          <w:i w:val="0"/>
          <w:color w:val="000000"/>
          <w:sz w:val="20"/>
        </w:rPr>
        <w:t>Tabela 6 - Distribuição dos perfis no primeiro e no último dia do microciclo e nos dois tipos de dia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Global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Dias de HIIT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Dias sem HIIT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56,8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47,6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60,9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15,9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10,7</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6,1</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3,7</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pelo critério de Morgan, aplicado em paralelo, a proporção de atletas em perfil iceberg passa de 71,4% no dia 1 para 32,6% no dia 7, e a de humor perturbado de 47,6% para 71,7%. Os dois critérios não são equivalentes: o de Morgan exige apenas que o vigor supere as cinco negativas, enquanto o de Parsons-Smith exige proximidade a um centroide específico. Fonte primária: Tabelas 20 e 21 do relatório completo.</w:t>
      </w:r>
    </w:p>
    <w:p>
      <w:pPr>
        <w:pStyle w:val="Heading1"/>
      </w:pPr>
      <w:r>
        <w:t>4 DISCUSSÃO</w:t>
      </w:r>
    </w:p>
    <w:p>
      <w:pPr>
        <w:spacing w:line="240" w:lineRule="auto" w:after="80"/>
        <w:ind w:firstLine="709"/>
        <w:jc w:val="both"/>
      </w:pPr>
      <w:r>
        <w:rPr>
          <w:rFonts w:ascii="Times New Roman" w:hAnsi="Times New Roman"/>
          <w:b w:val="0"/>
          <w:i w:val="0"/>
          <w:color w:val="000000"/>
          <w:sz w:val="24"/>
        </w:rPr>
        <w:t>Até onde alcança o levantamento descrito na introdução, este é o primeiro estudo a aplicar os seis perfis de humor ao handebol. Quatro resultados merecem destaque, e os quatro são tanto substantivos quanto metodológicos.</w:t>
      </w:r>
    </w:p>
    <w:p>
      <w:pPr>
        <w:spacing w:line="240" w:lineRule="auto" w:after="80"/>
        <w:ind w:firstLine="709"/>
        <w:jc w:val="both"/>
      </w:pPr>
      <w:r>
        <w:rPr>
          <w:rFonts w:ascii="Times New Roman" w:hAnsi="Times New Roman"/>
          <w:b w:val="0"/>
          <w:i w:val="0"/>
          <w:color w:val="000000"/>
          <w:sz w:val="24"/>
        </w:rPr>
        <w:t>O primeiro é o efeito piso. Em atletas saudáveis de elite no período pré-competitivo, tensão, depressão, raiva e confusão concentram entre 49,6% e 80,5% das respostas no valor mínimo. Isso não é falha de instrumento: é a descrição correta de uma população sem sintoma clínico. A consequência prática é que essas quatro subescalas servem para compor o índice total e para sinalizar caso individual atípico, mas não para acompanhar variação de carga no dia a dia da equipe. A consequência metodológica é mais séria: o piso impede a estimativa dos coeficientes ordinais de duas delas e distorce a classificação por critérios que dependem da ordem entre subescalas, como mostra a divergência entre os dois critérios na seção 3.3.</w:t>
      </w:r>
    </w:p>
    <w:p>
      <w:pPr>
        <w:spacing w:line="240" w:lineRule="auto" w:after="80"/>
        <w:ind w:firstLine="709"/>
        <w:jc w:val="both"/>
      </w:pPr>
      <w:r>
        <w:rPr>
          <w:rFonts w:ascii="Times New Roman" w:hAnsi="Times New Roman"/>
          <w:b w:val="0"/>
          <w:i w:val="0"/>
          <w:color w:val="000000"/>
          <w:sz w:val="24"/>
        </w:rPr>
        <w:t>O segundo é a estabilidade. Com ICC de uma coleta entre 0,31 e 0,59, nenhuma leitura isolada sustenta decisão sobre um atleta. A média de sete dias eleva o coeficiente para a faixa de 0,76 a 0,91. A recomendação que decorre disso é direta: o monitoramento deve trabalhar com média móvel, e não com o valor do dia. Esse resultado também qualifica a leitura do perfil, que é atribuído a uma observação isolada e herda dela a instabilidade.</w:t>
      </w:r>
    </w:p>
    <w:p>
      <w:pPr>
        <w:spacing w:line="240" w:lineRule="auto" w:after="80"/>
        <w:ind w:firstLine="709"/>
        <w:jc w:val="both"/>
      </w:pPr>
      <w:r>
        <w:rPr>
          <w:rFonts w:ascii="Times New Roman" w:hAnsi="Times New Roman"/>
          <w:b w:val="0"/>
          <w:i w:val="0"/>
          <w:color w:val="000000"/>
          <w:sz w:val="24"/>
        </w:rPr>
        <w:t>O terceiro é a comparação com a única amostra brasileira classificada pelos mesmos seis perfis. Entre 898 atletas de elite e de base de um clube do Rio de Janeiro, 26,5% apresentaram um perfil de risco; aqui, 19,9% (Rohlfs, Noce e Wilke, 2024). A diferença tem duas explicações plausíveis e não excludentes. A amostra brasileira reúne os dois sexos e uma faixa etária de 12 a 44 anos, e nela os perfis de risco foram mais frequentes entre mulheres; a nossa é masculina e adulta. E a amostra brasileira usou também a instrução de semana anterior, que produz escores mais altos que a instrução de momento presente adotada aqui. As duas diferenças empurram na mesma direção, o que torna a prevalência menor observada no handebol coerente com a literatura, e não contraditória.</w:t>
      </w:r>
    </w:p>
    <w:p>
      <w:pPr>
        <w:spacing w:line="240" w:lineRule="auto" w:after="80"/>
        <w:ind w:firstLine="709"/>
        <w:jc w:val="both"/>
      </w:pPr>
      <w:r>
        <w:rPr>
          <w:rFonts w:ascii="Times New Roman" w:hAnsi="Times New Roman"/>
          <w:b w:val="0"/>
          <w:i w:val="0"/>
          <w:color w:val="000000"/>
          <w:sz w:val="24"/>
        </w:rPr>
        <w:t>O quarto é a ausência de normas. A padronização dentro da amostra resolve a falta de escores T, mas ao custo de tornar a prevalência incomparável com a literatura, como a Figura 3 quantifica. A saída está na Tabela 2: os percentis de referência publicados aqui constituem a primeira régua específica de handebol de elite para o instrumento e permitem que estudos futuros classifiquem observações sem depender da própria amostra.</w:t>
      </w:r>
    </w:p>
    <w:p>
      <w:pPr>
        <w:pStyle w:val="Heading2"/>
      </w:pPr>
      <w:r>
        <w:t>4.1 Aplicação prática</w:t>
      </w:r>
    </w:p>
    <w:p>
      <w:pPr>
        <w:spacing w:line="240" w:lineRule="auto" w:after="80"/>
        <w:ind w:firstLine="709"/>
        <w:jc w:val="both"/>
      </w:pPr>
      <w:r>
        <w:rPr>
          <w:rFonts w:ascii="Times New Roman" w:hAnsi="Times New Roman"/>
          <w:b w:val="0"/>
          <w:i w:val="0"/>
          <w:color w:val="000000"/>
          <w:sz w:val="24"/>
        </w:rPr>
        <w:t>Para a comissão técnica, três decisões decorrem destes resultados. A primeira é o que medir: no acompanhamento diário bastam vigor, fadiga e o índice total, porque as demais subescalas não variam o suficiente para informar. A segunda é como ler: a média móvel de sete dias, e não o escore do dia, é a unidade com confiabilidade adequada para decisão sobre um atleta. A terceira é quando agir: um atleta classificado em barbatana de tubarão, iceberg invertido ou Everest invertido em duas leituras consecutivas merece conversa individual, porque esses três perfis somam uma em cada cinco observações desta amostra e são os que a literatura associa a risco.</w:t>
      </w:r>
    </w:p>
    <w:p>
      <w:pPr>
        <w:pStyle w:val="Heading2"/>
      </w:pPr>
      <w:r>
        <w:t>4.2 Limitações</w:t>
      </w:r>
    </w:p>
    <w:p>
      <w:pPr>
        <w:spacing w:line="240" w:lineRule="auto" w:after="80"/>
        <w:ind w:firstLine="709"/>
        <w:jc w:val="both"/>
      </w:pPr>
      <w:r>
        <w:rPr>
          <w:rFonts w:ascii="Times New Roman" w:hAnsi="Times New Roman"/>
          <w:b w:val="0"/>
          <w:i w:val="0"/>
          <w:color w:val="000000"/>
          <w:sz w:val="24"/>
        </w:rPr>
        <w:t>Quatro limitações restringem a generalização. A amostra tem 27 atletas de uma única equipe, dos quais 19 completaram todas as coletas, e o período monitorado é um único microciclo pré-competitivo, o que concentra a observação em um momento particular da temporada. A classificação por proximidade a centroide não reproduz a análise de agrupamento original: o procedimento indicado para amostras deste tamanho é a análise de k-médias semeada com os centroides canônicos, adotada na amostra brasileira de referência (Rohlfs, Noce e Wilke, 2024), e a diferença entre os dois procedimentos ainda não foi quantificada nestes dados. A ausência de normas de escore T para a modalidade obriga à padronização interna, cujo efeito a Figura 3 quantifica. E a amostra é masculina, o que impede qualquer extensão aos achados de sexo relatados na literatura.</w:t>
      </w:r>
    </w:p>
    <w:p>
      <w:pPr>
        <w:pStyle w:val="Heading1"/>
      </w:pPr>
      <w:r>
        <w:t>5 CONCLUSÃO</w:t>
      </w:r>
    </w:p>
    <w:p>
      <w:pPr>
        <w:spacing w:line="240" w:lineRule="auto" w:after="80"/>
        <w:ind w:firstLine="709"/>
        <w:jc w:val="both"/>
      </w:pPr>
      <w:r>
        <w:rPr>
          <w:rFonts w:ascii="Times New Roman" w:hAnsi="Times New Roman"/>
          <w:b w:val="0"/>
          <w:i w:val="0"/>
          <w:color w:val="000000"/>
          <w:sz w:val="24"/>
        </w:rPr>
        <w:t>Em atletas de handebol masculino de elite, os seis perfis de humor descritos na literatura são identificáveis, e os três associados a risco à saúde mental somam 19,9% das observações, valor próximo ao da única amostra brasileira classificada pelo mesmo critério. A distribuição entre os perfis intermediários, porém, depende da régua: sem normas de escore da modalidade, a padronização interna concentra as observações no perfil superfície e não é comparável à norma. Quatro das seis subescalas apresentam efeito piso acima de 49% e não têm margem de medida útil para o acompanhamento diário. Nenhuma subescala é confiável em uma leitura isolada, e todas passam a ser na média de sete dias. Os percentis de referência apresentados aqui são a primeira régua específica da modalidade e são a contribuição de uso imediato deste estudo.</w:t>
      </w:r>
    </w:p>
    <w:p>
      <w:pPr>
        <w:pStyle w:val="Heading1"/>
      </w:pPr>
      <w:r>
        <w:t>REFERÊNCIAS</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HAN, C. S. Y. e outros. Mood profiling in Singapore: cross-cultural validation and potential applications of mood profile clusters. Frontiers in Psychology, v. 11, art. 665, 2020.</w:t>
      </w:r>
    </w:p>
    <w:p>
      <w:pPr>
        <w:spacing w:line="240" w:lineRule="auto" w:after="100"/>
        <w:ind w:firstLine="0"/>
        <w:jc w:val="both"/>
      </w:pPr>
      <w:r>
        <w:rPr>
          <w:rFonts w:ascii="Times New Roman" w:hAnsi="Times New Roman"/>
          <w:b w:val="0"/>
          <w:i w:val="0"/>
          <w:color w:val="000000"/>
          <w:sz w:val="20"/>
        </w:rPr>
        <w:t>MORGAN, W. P. Test of champions: the iceberg profile. Psychology Today, v. 14, p. 92-108, 1980.</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QUARTIROLI, A. e outros. Cross-cultural validation of mood profile clusters in a sport and exercise context. Frontiers in Psychology, v. 9, art. 1949, 2018.</w:t>
      </w:r>
    </w:p>
    <w:p>
      <w:pPr>
        <w:spacing w:line="240" w:lineRule="auto" w:after="100"/>
        <w:ind w:firstLine="0"/>
        <w:jc w:val="both"/>
      </w:pPr>
      <w:r>
        <w:rPr>
          <w:rFonts w:ascii="Times New Roman" w:hAnsi="Times New Roman"/>
          <w:b w:val="0"/>
          <w:i w:val="0"/>
          <w:color w:val="000000"/>
          <w:sz w:val="20"/>
        </w:rPr>
        <w:t>ROHLFS, I. C. P. M.; NOCE, F.; WILKE, C. F. Prevalence of specific mood profile clusters among elite and youth athletes at a Brazilian sports club. Sports, v. 12, n. 7, art. 195, 2024.</w:t>
      </w:r>
    </w:p>
    <w:p>
      <w:pPr>
        <w:spacing w:line="240" w:lineRule="auto" w:after="100"/>
        <w:ind w:firstLine="0"/>
        <w:jc w:val="both"/>
      </w:pPr>
      <w:r>
        <w:rPr>
          <w:rFonts w:ascii="Times New Roman" w:hAnsi="Times New Roman"/>
          <w:b w:val="0"/>
          <w:i w:val="0"/>
          <w:color w:val="000000"/>
          <w:sz w:val="20"/>
        </w:rPr>
        <w:t>TERRY, P. C.; LANE, A. M. Normative values for the profile of mood states for use with athletic samples. Journal of Applied Sport Psychology, v. 12, n. 1, p. 93-109, 2000.</w:t>
      </w:r>
    </w:p>
    <w:p>
      <w:pPr>
        <w:spacing w:line="240" w:lineRule="auto" w:after="100"/>
        <w:ind w:firstLine="0"/>
        <w:jc w:val="both"/>
      </w:pPr>
      <w:r>
        <w:rPr>
          <w:rFonts w:ascii="Times New Roman" w:hAnsi="Times New Roman"/>
          <w:b w:val="0"/>
          <w:i w:val="0"/>
          <w:color w:val="000000"/>
          <w:sz w:val="20"/>
        </w:rPr>
        <w:t>TERRY, P. C.; PARSONS-SMITH, R. L. Mood profiling for sustainable mental health among athletes. Sustainability, v. 13, n. 11, art. 6116, 2021.</w:t>
      </w:r>
    </w:p>
    <w:p>
      <w:pPr>
        <w:spacing w:line="240" w:lineRule="auto" w:after="100"/>
        <w:ind w:firstLine="0"/>
        <w:jc w:val="both"/>
      </w:pPr>
      <w:r>
        <w:rPr>
          <w:rFonts w:ascii="Times New Roman" w:hAnsi="Times New Roman"/>
          <w:b w:val="0"/>
          <w:i w:val="0"/>
          <w:color w:val="000000"/>
          <w:sz w:val="20"/>
        </w:rPr>
        <w:t>TERWEE, C. B. e outros. Quality criteria were proposed for measurement properties of health status questionnaires. Journal of Clinical Epidemiology, v. 60, n. 1, p. 34-42, 2007.</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