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configurando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o cruzamento energia–fadiga —, separando o sinal sistemático do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selecionando-se o de melhor compromisso entre ajuste e parcimônia pelo menor AIC/BIC, além do R² ajustado e do RMSE; para o modelo logístico, comparou-se ainda o preditor na escala bruta contra a logarítmica. A migração de perfil ao longo da semana foi testada como tendência por regressão logística da probabilidade de cada perfil (iceberg e barbatana de tubarão) em função do dia do microciclo, e modelou-se também a probabilidade de um dia de baixo vigor (tercil inferior) e a de exibir o perfil iceberg em função do pico de velocidade; os intervalos de confiança das razões de chances e das áreas sob a curva foram obtidos por reamostragem (bootstrap, 1000 repetições) de atletas, para acomodar a estrutura de medidas repetidas. Além do ponto de corte único, o pico de velocidade foi estratificado por dois limiares — os tercis de sua distribuição — em três faixas de aptidão, comparando-se 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quantificando a razão sinal-ruído (SNR) e permitindo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13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13).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14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14.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15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15;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reforçando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16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Dois limiares do pico de velocidade do T-CAR (14,4 e 15,1 km/h) definindo três faixas de aptidão (esquerda) e a prevalência 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16; Figura 15).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oferecendo à comissão técnica uma referência graduada, e não binária, para individualizar a carga e priorizar a recuperação dos atletas menos aptos.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17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17; Figura 16).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18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18)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19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19; Figura 17).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20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20)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18). No primeiro dia, o vigor supera a fadiga por ampla margem (4,9 pontos); essa vantagem colapsa já no Dia 2, e as duas dimensões passam a se cruzar repetidamente na região central da semana — os pontos de interseção das funções ocorrem nos dias 2, 4, 6 — refletindo um período em que energia e fadiga ficam estatisticamente entrelaçadas. A partir do último cruzamento (Dia 6), a fadiga assume e se distancia do vigor, encerrando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21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21; Figura 19).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20).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reforçando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21).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22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22).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4), fornecendo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indicando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preferindo-se 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