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360" w:lineRule="auto"/>
        <w:jc w:val="center"/>
      </w:pPr>
      <w:r>
        <w:rPr>
          <w:rFonts w:ascii="Times New Roman" w:cs="Times New Roman" w:eastAsia="Times New Roman" w:hAnsi="Times New Roman"/>
          <w:b/>
          <w:bCs/>
          <w:color w:val="000000"/>
          <w:sz w:val="28"/>
          <w:szCs w:val="28"/>
        </w:rPr>
        <w:t xml:space="preserve">DINÂMICA DO ESTADO DE HUMOR, DA SONOLÊNCIA E DO ESTRESSE EM UM MICROCICLO DE PRÉ-TEMPORADA DE HANDEBOL: ANÁLISE DESCRITIVA, PERFIS E TRIANGULAÇÃO ESTÍMULO E RESPOSTA</w:t>
      </w:r>
    </w:p>
    <w:p>
      <w:pPr>
        <w:spacing w:after="200" w:before="0" w:line="360" w:lineRule="auto"/>
        <w:jc w:val="center"/>
      </w:pPr>
      <w:r>
        <w:rPr>
          <w:rFonts w:ascii="Times New Roman" w:cs="Times New Roman" w:eastAsia="Times New Roman" w:hAnsi="Times New Roman"/>
          <w:color w:val="000000"/>
          <w:sz w:val="22"/>
          <w:szCs w:val="22"/>
        </w:rPr>
        <w:t xml:space="preserve">[Autoria e afiliação a preencher]</w:t>
      </w:r>
    </w:p>
    <w:p>
      <w:pPr>
        <w:spacing w:after="80" w:before="120" w:line="360" w:lineRule="auto"/>
      </w:pPr>
      <w:r>
        <w:rPr>
          <w:rFonts w:ascii="Times New Roman" w:cs="Times New Roman" w:eastAsia="Times New Roman" w:hAnsi="Times New Roman"/>
          <w:b/>
          <w:bCs/>
          <w:sz w:val="24"/>
          <w:szCs w:val="24"/>
        </w:rPr>
        <w:t xml:space="preserve">RESUMO</w:t>
      </w:r>
    </w:p>
    <w:p>
      <w:pPr>
        <w:spacing w:after="80" w:before="0" w:line="360" w:lineRule="auto"/>
        <w:jc w:val="both"/>
      </w:pPr>
      <w:r>
        <w:rPr>
          <w:rFonts w:ascii="Times New Roman" w:cs="Times New Roman" w:eastAsia="Times New Roman" w:hAnsi="Times New Roman"/>
          <w:b/>
          <w:bCs/>
          <w:color w:val="000000"/>
          <w:sz w:val="24"/>
          <w:szCs w:val="24"/>
        </w:rPr>
        <w:t xml:space="preserve">Objetivo:</w:t>
      </w:r>
      <w:r>
        <w:rPr>
          <w:rFonts w:ascii="Times New Roman" w:cs="Times New Roman" w:eastAsia="Times New Roman" w:hAnsi="Times New Roman"/>
          <w:color w:val="000000"/>
          <w:sz w:val="24"/>
          <w:szCs w:val="24"/>
        </w:rPr>
        <w:t xml:space="preserve"> descrever o comportamento do estado de humor, da sonolência e do estresse percebido ao longo de um microciclo de pré-temporada e identificar quais dimensões respondem a cada estímulo (treinamento intervalado de alta intensidade e jogo amistoso), com integração dos achados por triangulação metodológica. </w:t>
      </w:r>
      <w:r>
        <w:rPr>
          <w:rFonts w:ascii="Times New Roman" w:cs="Times New Roman" w:eastAsia="Times New Roman" w:hAnsi="Times New Roman"/>
          <w:b/>
          <w:bCs/>
          <w:color w:val="000000"/>
          <w:sz w:val="24"/>
          <w:szCs w:val="24"/>
        </w:rPr>
        <w:t xml:space="preserve">Método:</w:t>
      </w:r>
      <w:r>
        <w:rPr>
          <w:rFonts w:ascii="Times New Roman" w:cs="Times New Roman" w:eastAsia="Times New Roman" w:hAnsi="Times New Roman"/>
          <w:color w:val="000000"/>
          <w:sz w:val="24"/>
          <w:szCs w:val="24"/>
        </w:rPr>
        <w:t xml:space="preserve"> vinte e sete atletas de handebol do sexo masculino responderam à Escala de Humor de Brunel (BRUMS), à Escala de Sonolência de Epworth e à Perceived Stress Scale durante sete dias, o que resultou em 456 observações pareadas por atleta. A aptidão aeróbia e neuromuscular foi avaliada por teste de campo (T-CAR) e bateria complementar. A análise combinou estatística descritiva (média, desvio padrão, mediana, mínimo, máximo, coeficiente de variação e intervalo de confiança de 95%), confiabilidade entre dias (coeficiente de correlação intraclasse e ômega de McDonald), classificação dos seis perfis de humor por escores padronizados, correlações de Spearman e contrastes entre tipos de dia com correção por taxa de falsa descoberta. </w:t>
      </w:r>
      <w:r>
        <w:rPr>
          <w:rFonts w:ascii="Times New Roman" w:cs="Times New Roman" w:eastAsia="Times New Roman" w:hAnsi="Times New Roman"/>
          <w:b/>
          <w:bCs/>
          <w:color w:val="000000"/>
          <w:sz w:val="24"/>
          <w:szCs w:val="24"/>
        </w:rPr>
        <w:t xml:space="preserve">Resultados:</w:t>
      </w:r>
      <w:r>
        <w:rPr>
          <w:rFonts w:ascii="Times New Roman" w:cs="Times New Roman" w:eastAsia="Times New Roman" w:hAnsi="Times New Roman"/>
          <w:color w:val="000000"/>
          <w:sz w:val="24"/>
          <w:szCs w:val="24"/>
        </w:rPr>
        <w:t xml:space="preserve"> a fadiga física destacou-se como o marcador mais estável e reprodutível; o afeto negativo diferenciou o estímulo intervalado, percebido como mais aversivo, do jogo; a sonolência acompanhou o perfil de humor, ao passo que o estresse percebido seguiu trajetória própria. </w:t>
      </w:r>
      <w:r>
        <w:rPr>
          <w:rFonts w:ascii="Times New Roman" w:cs="Times New Roman" w:eastAsia="Times New Roman" w:hAnsi="Times New Roman"/>
          <w:b/>
          <w:bCs/>
          <w:color w:val="000000"/>
          <w:sz w:val="24"/>
          <w:szCs w:val="24"/>
        </w:rPr>
        <w:t xml:space="preserve">Conclusão:</w:t>
      </w:r>
      <w:r>
        <w:rPr>
          <w:rFonts w:ascii="Times New Roman" w:cs="Times New Roman" w:eastAsia="Times New Roman" w:hAnsi="Times New Roman"/>
          <w:color w:val="000000"/>
          <w:sz w:val="24"/>
          <w:szCs w:val="24"/>
        </w:rPr>
        <w:t xml:space="preserve"> a triangulação sustenta uma divisão funcional do monitoramento, com a carga física vigiada pela fadiga e o estado psicológico observado pelo afeto e pelo perfil.</w:t>
      </w:r>
    </w:p>
    <w:p>
      <w:pPr>
        <w:spacing w:after="200" w:before="0" w:line="360" w:lineRule="auto"/>
        <w:jc w:val="both"/>
      </w:pPr>
      <w:r>
        <w:rPr>
          <w:rFonts w:ascii="Times New Roman" w:cs="Times New Roman" w:eastAsia="Times New Roman" w:hAnsi="Times New Roman"/>
          <w:b/>
          <w:bCs/>
          <w:color w:val="000000"/>
          <w:sz w:val="24"/>
          <w:szCs w:val="24"/>
        </w:rPr>
        <w:t xml:space="preserve">Palavras-chave:</w:t>
      </w:r>
      <w:r>
        <w:rPr>
          <w:rFonts w:ascii="Times New Roman" w:cs="Times New Roman" w:eastAsia="Times New Roman" w:hAnsi="Times New Roman"/>
          <w:color w:val="000000"/>
          <w:sz w:val="24"/>
          <w:szCs w:val="24"/>
        </w:rPr>
        <w:t xml:space="preserve"> Estado de humor. BRUMS. Fadiga. Pré-temporada. Handebol.</w:t>
      </w:r>
    </w:p>
    <w:p>
      <w:pPr>
        <w:keepNext/>
        <w:spacing w:after="140" w:before="300" w:line="360" w:lineRule="auto"/>
      </w:pPr>
      <w:r>
        <w:rPr>
          <w:rFonts w:ascii="Times New Roman" w:cs="Times New Roman" w:eastAsia="Times New Roman" w:hAnsi="Times New Roman"/>
          <w:b/>
          <w:bCs/>
          <w:color w:val="000000"/>
          <w:sz w:val="24"/>
          <w:szCs w:val="24"/>
        </w:rPr>
        <w:t xml:space="preserve">1 INTRODUÇÃO</w:t>
      </w:r>
    </w:p>
    <w:p>
      <w:pPr>
        <w:spacing w:after="0" w:before="0" w:line="360" w:lineRule="auto"/>
        <w:ind w:firstLine="709"/>
        <w:jc w:val="both"/>
      </w:pPr>
      <w:r>
        <w:rPr>
          <w:rFonts w:ascii="Times New Roman" w:cs="Times New Roman" w:eastAsia="Times New Roman" w:hAnsi="Times New Roman"/>
          <w:color w:val="000000"/>
          <w:sz w:val="24"/>
          <w:szCs w:val="24"/>
        </w:rPr>
        <w:t xml:space="preserve">O monitoramento do estado psicológico do atleta consolidou-se como recurso central da preparação esportiva contemporânea. Entre os instrumentos disponíveis, a Escala de Humor de Brunel (BRUMS) ocupa posição de destaque, pois traduz em seis dimensões (tensão, depressão, raiva, vigor, fadiga e confusão) um construto sensível às oscilações da carga de treino. A literatura consagra o chamado perfil iceberg, proposto por Morgan (1985), no qual o vigor se sobrepõe às dimensões negativas, como marca de equilíbrio afetivo e de boa adaptação. Estudos posteriores refinaram essa leitura e descreveram uma taxonomia de perfis capaz de captar estados menos favoráveis (PARSONS-SMITH; TERRY; MACHIN, 2017; HAN; PARSONS-SMITH; TERRY, 2020).</w:t>
      </w:r>
    </w:p>
    <w:p>
      <w:pPr>
        <w:spacing w:after="0" w:before="0" w:line="360" w:lineRule="auto"/>
        <w:ind w:firstLine="709"/>
        <w:jc w:val="both"/>
      </w:pPr>
      <w:r>
        <w:rPr>
          <w:rFonts w:ascii="Times New Roman" w:cs="Times New Roman" w:eastAsia="Times New Roman" w:hAnsi="Times New Roman"/>
          <w:color w:val="000000"/>
          <w:sz w:val="24"/>
          <w:szCs w:val="24"/>
        </w:rPr>
        <w:t xml:space="preserve">A pré-temporada representa um período crítico para essa vigilância. Nela, o organismo do atleta enfrenta estímulos de naturezas distintas, entre os quais se destacam o treinamento intervalado de alta intensidade (HIIT) e os jogos amistosos. Cada estímulo impõe demandas específicas, e o humor funciona como sensor precoce dessas demandas, muitas vezes antes que marcadores fisiológicos exibam alterações mensuráveis. Convém reconhecer, porém, que a mera descrição de médias diárias esconde nuances relevantes: uma variável pode oscilar muito e mesmo assim carregar pouca informação útil, ao passo que outra, aparentemente discreta, pode discriminar com precisão o tipo de esforço.</w:t>
      </w:r>
    </w:p>
    <w:p>
      <w:pPr>
        <w:spacing w:after="0" w:before="0" w:line="360" w:lineRule="auto"/>
        <w:ind w:firstLine="709"/>
        <w:jc w:val="both"/>
      </w:pPr>
      <w:r>
        <w:rPr>
          <w:rFonts w:ascii="Times New Roman" w:cs="Times New Roman" w:eastAsia="Times New Roman" w:hAnsi="Times New Roman"/>
          <w:color w:val="000000"/>
          <w:sz w:val="24"/>
          <w:szCs w:val="24"/>
        </w:rPr>
        <w:t xml:space="preserve">Diante dessa complexidade, o presente estudo adota a triangulação metodológica como estratégia analítica. Em vez de depositar confiança em um único teste, o trabalho cruza abordagens independentes, entre elas a descrição estatística robusta, a análise de confiabilidade, a classificação de perfis, a exploração de correlações e o contraste entre tipos de dia. Quando caminhos distintos convergem para a mesma conclusão, o achado ganha solidez; quando um resultado isolado não resiste à correção por comparações múltiplas, a interpretação permanece cautelosa e o trata como tendência.</w:t>
      </w:r>
    </w:p>
    <w:p>
      <w:pPr>
        <w:spacing w:after="0" w:before="0" w:line="360" w:lineRule="auto"/>
        <w:ind w:firstLine="709"/>
        <w:jc w:val="both"/>
      </w:pPr>
      <w:r>
        <w:rPr>
          <w:rFonts w:ascii="Times New Roman" w:cs="Times New Roman" w:eastAsia="Times New Roman" w:hAnsi="Times New Roman"/>
          <w:color w:val="000000"/>
          <w:sz w:val="24"/>
          <w:szCs w:val="24"/>
        </w:rPr>
        <w:t xml:space="preserve">O objetivo geral consiste em descrever o comportamento do humor, da sonolência e do estresse percebido ao longo do microciclo e em identificar quais medidas respondem a cada estímulo. Como objetivos específicos, o estudo pretende caracterizar a distribuição e a confiabilidade das medidas, classificar os atletas segundo os seis perfis de humor, mensurar a resposta aguda por tipo de dia e integrar as evidências em uma síntese aplicável à prática esportiva.</w:t>
      </w:r>
    </w:p>
    <w:p>
      <w:pPr>
        <w:keepNext/>
        <w:spacing w:after="140" w:before="300" w:line="360" w:lineRule="auto"/>
      </w:pPr>
      <w:r>
        <w:rPr>
          <w:rFonts w:ascii="Times New Roman" w:cs="Times New Roman" w:eastAsia="Times New Roman" w:hAnsi="Times New Roman"/>
          <w:b/>
          <w:bCs/>
          <w:color w:val="000000"/>
          <w:sz w:val="24"/>
          <w:szCs w:val="24"/>
        </w:rPr>
        <w:t xml:space="preserve">2 MÉTODO</w:t>
      </w:r>
    </w:p>
    <w:p>
      <w:pPr>
        <w:keepNext/>
        <w:spacing w:after="90" w:before="200" w:line="360" w:lineRule="auto"/>
      </w:pPr>
      <w:r>
        <w:rPr>
          <w:rFonts w:ascii="Times New Roman" w:cs="Times New Roman" w:eastAsia="Times New Roman" w:hAnsi="Times New Roman"/>
          <w:b/>
          <w:bCs/>
          <w:color w:val="000000"/>
          <w:sz w:val="24"/>
          <w:szCs w:val="24"/>
        </w:rPr>
        <w:t xml:space="preserve">2.1 Amostra e delineamento</w:t>
      </w:r>
    </w:p>
    <w:p>
      <w:pPr>
        <w:spacing w:after="0" w:before="0" w:line="360" w:lineRule="auto"/>
        <w:ind w:firstLine="709"/>
        <w:jc w:val="both"/>
      </w:pPr>
      <w:r>
        <w:rPr>
          <w:rFonts w:ascii="Times New Roman" w:cs="Times New Roman" w:eastAsia="Times New Roman" w:hAnsi="Times New Roman"/>
          <w:color w:val="000000"/>
          <w:sz w:val="24"/>
          <w:szCs w:val="24"/>
        </w:rPr>
        <w:t xml:space="preserve">Participaram do estudo 27 atletas de handebol do sexo masculino, todos integrantes do mesmo elenco, avaliados ao longo de 7 dias consecutivos de um microciclo de pré-temporada. O delineamento observacional de grupo único acompanhou a rotina real da equipe, sem manipulação experimental e sem grupo de comparação. Cada dia recebeu uma classificação de estímulo conforme a sessão predominante, a saber: linha de base técnico-tática (D1), HIIT (D2, D4 e D7), jogo amistoso (D3 e D5) e força (D6). O conjunto reuniu 456 observações pareadas por atleta, o que confere densidade adequada às análises intra-dia e entre dias.</w:t>
      </w:r>
    </w:p>
    <w:p>
      <w:pPr>
        <w:spacing w:after="0" w:before="0" w:line="360" w:lineRule="auto"/>
        <w:ind w:firstLine="709"/>
        <w:jc w:val="both"/>
      </w:pPr>
      <w:r>
        <w:rPr>
          <w:rFonts w:ascii="Times New Roman" w:cs="Times New Roman" w:eastAsia="Times New Roman" w:hAnsi="Times New Roman"/>
          <w:color w:val="000000"/>
          <w:sz w:val="24"/>
          <w:szCs w:val="24"/>
        </w:rPr>
        <w:t xml:space="preserve">A avaliação da aptidão física recorreu a uma bateria complementar aplicada em 24 atletas, distribuídos em subgrupos de referência (controle, n = 12; experimental, n = 12). Por respeito à fronteira de anonimização, esse conjunto físico manteve esquema de identificação próprio, sem junção artificial com os códigos do banco de humor. As leituras físicas, portanto, descrevem uma amostra correlata, e não a mesma unidade de análise do humor.</w:t>
      </w:r>
    </w:p>
    <w:p>
      <w:pPr>
        <w:keepNext/>
        <w:spacing w:after="90" w:before="200" w:line="360" w:lineRule="auto"/>
      </w:pPr>
      <w:r>
        <w:rPr>
          <w:rFonts w:ascii="Times New Roman" w:cs="Times New Roman" w:eastAsia="Times New Roman" w:hAnsi="Times New Roman"/>
          <w:b/>
          <w:bCs/>
          <w:color w:val="000000"/>
          <w:sz w:val="24"/>
          <w:szCs w:val="24"/>
        </w:rPr>
        <w:t xml:space="preserve">2.2 Instrumentos</w:t>
      </w:r>
    </w:p>
    <w:p>
      <w:pPr>
        <w:spacing w:after="0" w:before="0" w:line="360" w:lineRule="auto"/>
        <w:ind w:firstLine="709"/>
        <w:jc w:val="both"/>
      </w:pPr>
      <w:r>
        <w:rPr>
          <w:rFonts w:ascii="Times New Roman" w:cs="Times New Roman" w:eastAsia="Times New Roman" w:hAnsi="Times New Roman"/>
          <w:color w:val="000000"/>
          <w:sz w:val="24"/>
          <w:szCs w:val="24"/>
        </w:rPr>
        <w:t xml:space="preserve">O estado de humor foi mensurado pela BRUMS, validada para o português (ROHLFS et al., 2008), em suas seis dimensões, das quais derivam a fadiga física, a perturbação total do humor (PTH) e a classificação do perfil. A sonolência diurna foi avaliada pela Escala de Sonolência de Epworth, e o estresse percebido, pela Perceived Stress Scale (PSS). A aptidão aeróbia foi estimada pelo teste de campo T-CAR, que fornece o pico de velocidade, a frequência cardíaca máxima e o número de repetições completadas. A bateria complementar incluiu o salto com contramovimento (CMJ) e o teste de Baker, além de medidas antropométricas.</w:t>
      </w:r>
    </w:p>
    <w:p>
      <w:pPr>
        <w:keepNext/>
        <w:spacing w:after="90" w:before="200" w:line="360" w:lineRule="auto"/>
      </w:pPr>
      <w:r>
        <w:rPr>
          <w:rFonts w:ascii="Times New Roman" w:cs="Times New Roman" w:eastAsia="Times New Roman" w:hAnsi="Times New Roman"/>
          <w:b/>
          <w:bCs/>
          <w:color w:val="000000"/>
          <w:sz w:val="24"/>
          <w:szCs w:val="24"/>
        </w:rPr>
        <w:t xml:space="preserve">2.3 Classificação dos perfis de humor</w:t>
      </w:r>
    </w:p>
    <w:p>
      <w:pPr>
        <w:spacing w:after="0" w:before="0" w:line="360" w:lineRule="auto"/>
        <w:ind w:firstLine="709"/>
        <w:jc w:val="both"/>
      </w:pPr>
      <w:r>
        <w:rPr>
          <w:rFonts w:ascii="Times New Roman" w:cs="Times New Roman" w:eastAsia="Times New Roman" w:hAnsi="Times New Roman"/>
          <w:color w:val="000000"/>
          <w:sz w:val="24"/>
          <w:szCs w:val="24"/>
        </w:rPr>
        <w:t xml:space="preserve">A classificação seguiu a taxonomia dos seis perfis descritos por Parsons-Smith, Terry e Machin (2017). Cada uma das seis subescalas foi padronizada na amostra e convertida em escore T (T = 50 + 10z), o que preserva a forma do perfil em uma métrica de leitura direta. A atribuição de cada observação a um perfil obedeceu ao critério do centroide canônico mais próximo, mensurado pela menor distância euclidiana quadrática sobre as seis subescalas padronizadas. Para cada perfil, o estudo reportou indicadores-chave de desempenho descritivo, entre eles a prevalência, o índice-iceberg (definido como o vigor padronizado menos a média das dimensões negativas padronizadas) e a PTH, que resume o perfil em um único número.</w:t>
      </w:r>
    </w:p>
    <w:p>
      <w:pPr>
        <w:keepNext/>
        <w:spacing w:after="90" w:before="200" w:line="360" w:lineRule="auto"/>
      </w:pPr>
      <w:r>
        <w:rPr>
          <w:rFonts w:ascii="Times New Roman" w:cs="Times New Roman" w:eastAsia="Times New Roman" w:hAnsi="Times New Roman"/>
          <w:b/>
          <w:bCs/>
          <w:color w:val="000000"/>
          <w:sz w:val="24"/>
          <w:szCs w:val="24"/>
        </w:rPr>
        <w:t xml:space="preserve">2.4 Análise estatística</w:t>
      </w:r>
    </w:p>
    <w:p>
      <w:pPr>
        <w:spacing w:after="0" w:before="0" w:line="360" w:lineRule="auto"/>
        <w:ind w:firstLine="709"/>
        <w:jc w:val="both"/>
      </w:pPr>
      <w:r>
        <w:rPr>
          <w:rFonts w:ascii="Times New Roman" w:cs="Times New Roman" w:eastAsia="Times New Roman" w:hAnsi="Times New Roman"/>
          <w:color w:val="000000"/>
          <w:sz w:val="24"/>
          <w:szCs w:val="24"/>
        </w:rPr>
        <w:t xml:space="preserve">A descrição de cada variável incluiu média, desvio padrão, mediana, mínimo, máximo, coeficiente de variação e intervalo de confiança de 95% da média. A confiabilidade entre dias apoiou-se no coeficiente de correlação intraclasse, nas formulações ICC(A,1), para uma medida isolada, e ICC(A,k), para a média da semana, ambas acompanhadas do respectivo intervalo de confiança. A consistência interna das dimensões recorreu ao ômega de McDonald. As mudanças pré para pós foram avaliadas pelo teste de Wilcoxon, com o tamanho de efeito dz de Cohen para medidas repetidas e intervalo de confiança obtido por reamostragem. O contraste entre HIIT e jogo comparou as médias por atleta e ajustou oito testes simultâneos pelo procedimento de Benjamini-Hochberg. As associações entre variáveis empregaram a correlação de Spearman no nível do atleta, o que evita a pseudorreplicação, e os grupos de perfil foram comparados pelo teste de Kruskal-Wallis. Toda a cadeia analítica foi construída sobre um repositório reprodutível, com sementes fixas e verificação de determinismo.</w:t>
      </w:r>
    </w:p>
    <w:p>
      <w:pPr>
        <w:keepNext/>
        <w:spacing w:after="40" w:before="160" w:line="240"/>
        <w:jc w:val="center"/>
      </w:pPr>
      <w:r>
        <w:rPr>
          <w:rFonts w:ascii="Times New Roman" w:cs="Times New Roman" w:eastAsia="Times New Roman" w:hAnsi="Times New Roman"/>
          <w:b/>
          <w:bCs/>
          <w:color w:val="000000"/>
          <w:sz w:val="20"/>
          <w:szCs w:val="20"/>
        </w:rPr>
        <w:t xml:space="preserve">Figura 1</w:t>
      </w:r>
      <w:r>
        <w:rPr>
          <w:rFonts w:ascii="Times New Roman" w:cs="Times New Roman" w:eastAsia="Times New Roman" w:hAnsi="Times New Roman"/>
          <w:color w:val="000000"/>
          <w:sz w:val="20"/>
          <w:szCs w:val="20"/>
        </w:rPr>
        <w:t xml:space="preserve"> – Organograma do framework analítico descritivo, da coleta à síntese</w:t>
      </w:r>
    </w:p>
    <w:p>
      <w:pPr>
        <w:spacing w:after="0" w:before="4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40" w:before="160" w:line="240"/>
        <w:jc w:val="left"/>
      </w:pPr>
      <w:r>
        <w:rPr>
          <w:rFonts w:ascii="Times New Roman" w:cs="Times New Roman" w:eastAsia="Times New Roman" w:hAnsi="Times New Roman"/>
          <w:b/>
          <w:bCs/>
          <w:color w:val="000000"/>
          <w:sz w:val="20"/>
          <w:szCs w:val="20"/>
        </w:rPr>
        <w:t xml:space="preserve">Tabela 1</w:t>
      </w:r>
      <w:r>
        <w:rPr>
          <w:rFonts w:ascii="Times New Roman" w:cs="Times New Roman" w:eastAsia="Times New Roman" w:hAnsi="Times New Roman"/>
          <w:color w:val="000000"/>
          <w:sz w:val="20"/>
          <w:szCs w:val="20"/>
        </w:rPr>
        <w:t xml:space="preserve"> – Caracterização do microciclo de pré-temporada: sessões, carga interna e recuperação percebida ao longo dos sete dias</w:t>
      </w:r>
    </w:p>
    <w:tbl>
      <w:tblPr>
        <w:tblW w:type="dxa" w:w="9505"/>
        <w:tblBorders>
          <w:top w:val="single" w:color="000000" w:sz="6"/>
          <w:left w:val="none"/>
          <w:bottom w:val="single" w:color="000000" w:sz="6"/>
          <w:right w:val="none"/>
          <w:insideH w:val="none"/>
          <w:insideV w:val="none"/>
        </w:tblBorders>
      </w:tblPr>
      <w:tblGrid>
        <w:gridCol w:w="640"/>
        <w:gridCol w:w="820"/>
        <w:gridCol w:w="2100"/>
        <w:gridCol w:w="1080"/>
        <w:gridCol w:w="1000"/>
        <w:gridCol w:w="900"/>
        <w:gridCol w:w="1080"/>
        <w:gridCol w:w="1080"/>
        <w:gridCol w:w="805"/>
      </w:tblGrid>
      <w:tr>
        <w:trPr>
          <w:tblHeader/>
        </w:trPr>
        <w:tc>
          <w:tcPr>
            <w:tcW w:type="dxa" w:w="64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Dia</w:t>
            </w:r>
          </w:p>
        </w:tc>
        <w:tc>
          <w:tcPr>
            <w:tcW w:type="dxa" w:w="82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Data</w:t>
            </w:r>
          </w:p>
        </w:tc>
        <w:tc>
          <w:tcPr>
            <w:tcW w:type="dxa" w:w="21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Sessão</w:t>
            </w:r>
          </w:p>
        </w:tc>
        <w:tc>
          <w:tcPr>
            <w:tcW w:type="dxa" w:w="108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%FCmáx</w:t>
            </w:r>
          </w:p>
        </w:tc>
        <w:tc>
          <w:tcPr>
            <w:tcW w:type="dxa" w:w="1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TRIMP</w:t>
            </w:r>
          </w:p>
        </w:tc>
        <w:tc>
          <w:tcPr>
            <w:tcW w:type="dxa" w:w="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PSE</w:t>
            </w:r>
          </w:p>
        </w:tc>
        <w:tc>
          <w:tcPr>
            <w:tcW w:type="dxa" w:w="108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sPSE</w:t>
            </w:r>
          </w:p>
        </w:tc>
        <w:tc>
          <w:tcPr>
            <w:tcW w:type="dxa" w:w="108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Fad. fís.</w:t>
            </w:r>
          </w:p>
        </w:tc>
        <w:tc>
          <w:tcPr>
            <w:tcW w:type="dxa" w:w="8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TQR</w:t>
            </w:r>
          </w:p>
        </w:tc>
      </w:tr>
      <w:tr>
        <w:tc>
          <w:tcPr>
            <w:tcW w:type="dxa" w:w="64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D1</w:t>
            </w:r>
          </w:p>
        </w:tc>
        <w:tc>
          <w:tcPr>
            <w:tcW w:type="dxa" w:w="82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21/04</w:t>
            </w:r>
          </w:p>
        </w:tc>
        <w:tc>
          <w:tcPr>
            <w:tcW w:type="dxa" w:w="2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Técnico-tática (base)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4,7</w:t>
            </w:r>
          </w:p>
        </w:tc>
        <w:tc>
          <w:tcPr>
            <w:tcW w:type="dxa" w:w="8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13,5</w:t>
            </w:r>
          </w:p>
        </w:tc>
      </w:tr>
      <w:tr>
        <w:tc>
          <w:tcPr>
            <w:tcW w:type="dxa" w:w="64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D2</w:t>
            </w:r>
          </w:p>
        </w:tc>
        <w:tc>
          <w:tcPr>
            <w:tcW w:type="dxa" w:w="82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22/04</w:t>
            </w:r>
          </w:p>
        </w:tc>
        <w:tc>
          <w:tcPr>
            <w:tcW w:type="dxa" w:w="2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HIIT</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79,5</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84,0</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8,3</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201,7</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6,0</w:t>
            </w:r>
          </w:p>
        </w:tc>
        <w:tc>
          <w:tcPr>
            <w:tcW w:type="dxa" w:w="8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11,4</w:t>
            </w:r>
          </w:p>
        </w:tc>
      </w:tr>
      <w:tr>
        <w:tc>
          <w:tcPr>
            <w:tcW w:type="dxa" w:w="64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D3</w:t>
            </w:r>
          </w:p>
        </w:tc>
        <w:tc>
          <w:tcPr>
            <w:tcW w:type="dxa" w:w="82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23/04</w:t>
            </w:r>
          </w:p>
        </w:tc>
        <w:tc>
          <w:tcPr>
            <w:tcW w:type="dxa" w:w="2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Jogo amistoso</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6,4</w:t>
            </w:r>
          </w:p>
        </w:tc>
        <w:tc>
          <w:tcPr>
            <w:tcW w:type="dxa" w:w="8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11,4</w:t>
            </w:r>
          </w:p>
        </w:tc>
      </w:tr>
      <w:tr>
        <w:tc>
          <w:tcPr>
            <w:tcW w:type="dxa" w:w="64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D4</w:t>
            </w:r>
          </w:p>
        </w:tc>
        <w:tc>
          <w:tcPr>
            <w:tcW w:type="dxa" w:w="82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24/04</w:t>
            </w:r>
          </w:p>
        </w:tc>
        <w:tc>
          <w:tcPr>
            <w:tcW w:type="dxa" w:w="2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HIIT</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77,6</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79,6</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8,5</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205,7</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7,1</w:t>
            </w:r>
          </w:p>
        </w:tc>
        <w:tc>
          <w:tcPr>
            <w:tcW w:type="dxa" w:w="8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11,1</w:t>
            </w:r>
          </w:p>
        </w:tc>
      </w:tr>
      <w:tr>
        <w:tc>
          <w:tcPr>
            <w:tcW w:type="dxa" w:w="64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D5</w:t>
            </w:r>
          </w:p>
        </w:tc>
        <w:tc>
          <w:tcPr>
            <w:tcW w:type="dxa" w:w="82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25/04</w:t>
            </w:r>
          </w:p>
        </w:tc>
        <w:tc>
          <w:tcPr>
            <w:tcW w:type="dxa" w:w="2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Jogo amistoso</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6,0</w:t>
            </w:r>
          </w:p>
        </w:tc>
        <w:tc>
          <w:tcPr>
            <w:tcW w:type="dxa" w:w="8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11,6</w:t>
            </w:r>
          </w:p>
        </w:tc>
      </w:tr>
      <w:tr>
        <w:tc>
          <w:tcPr>
            <w:tcW w:type="dxa" w:w="64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D6</w:t>
            </w:r>
          </w:p>
        </w:tc>
        <w:tc>
          <w:tcPr>
            <w:tcW w:type="dxa" w:w="82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26/04</w:t>
            </w:r>
          </w:p>
        </w:tc>
        <w:tc>
          <w:tcPr>
            <w:tcW w:type="dxa" w:w="2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Força</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08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6,4</w:t>
            </w:r>
          </w:p>
        </w:tc>
        <w:tc>
          <w:tcPr>
            <w:tcW w:type="dxa" w:w="8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11,7</w:t>
            </w:r>
          </w:p>
        </w:tc>
      </w:tr>
      <w:tr>
        <w:tc>
          <w:tcPr>
            <w:tcW w:type="dxa" w:w="64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D7</w:t>
            </w:r>
          </w:p>
        </w:tc>
        <w:tc>
          <w:tcPr>
            <w:tcW w:type="dxa" w:w="82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27/04</w:t>
            </w:r>
          </w:p>
        </w:tc>
        <w:tc>
          <w:tcPr>
            <w:tcW w:type="dxa" w:w="21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val="false"/>
                <w:bCs w:val="false"/>
                <w:color w:val="000000"/>
                <w:sz w:val="20"/>
                <w:szCs w:val="20"/>
              </w:rPr>
              <w:t xml:space="preserve">HIIT</w:t>
            </w:r>
          </w:p>
        </w:tc>
        <w:tc>
          <w:tcPr>
            <w:tcW w:type="dxa" w:w="108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75,7</w:t>
            </w:r>
          </w:p>
        </w:tc>
        <w:tc>
          <w:tcPr>
            <w:tcW w:type="dxa" w:w="1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75,2</w:t>
            </w:r>
          </w:p>
        </w:tc>
        <w:tc>
          <w:tcPr>
            <w:tcW w:type="dxa" w:w="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8,9</w:t>
            </w:r>
          </w:p>
        </w:tc>
        <w:tc>
          <w:tcPr>
            <w:tcW w:type="dxa" w:w="108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215,8</w:t>
            </w:r>
          </w:p>
        </w:tc>
        <w:tc>
          <w:tcPr>
            <w:tcW w:type="dxa" w:w="108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7,6</w:t>
            </w:r>
          </w:p>
        </w:tc>
        <w:tc>
          <w:tcPr>
            <w:tcW w:type="dxa" w:w="8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9,0</w:t>
            </w:r>
          </w:p>
        </w:tc>
      </w:tr>
    </w:tbl>
    <w:p>
      <w:pPr>
        <w:spacing w:after="180" w:before="40" w:line="240"/>
        <w:jc w:val="left"/>
      </w:pPr>
      <w:r>
        <w:rPr>
          <w:rFonts w:ascii="Times New Roman" w:cs="Times New Roman" w:eastAsia="Times New Roman" w:hAnsi="Times New Roman"/>
          <w:color w:val="3f3f3f"/>
          <w:sz w:val="20"/>
          <w:szCs w:val="20"/>
        </w:rPr>
        <w:t xml:space="preserve">Nota: carga interna quantificada apenas nos dias de HIIT (%FCmáx, TRIMP de Banister, PSE 0–10 e sPSE em unidades arbitrárias); fadiga física percebida (0–10) e qualidade total de recuperação (TQR, 6–20) registradas em todos os dias. Fonte: Dados da pesquisa (2026).</w:t>
      </w:r>
    </w:p>
    <w:p>
      <w:pPr>
        <w:keepNext/>
        <w:spacing w:after="140" w:before="300" w:line="360" w:lineRule="auto"/>
      </w:pPr>
      <w:r>
        <w:rPr>
          <w:rFonts w:ascii="Times New Roman" w:cs="Times New Roman" w:eastAsia="Times New Roman" w:hAnsi="Times New Roman"/>
          <w:b/>
          <w:bCs/>
          <w:color w:val="000000"/>
          <w:sz w:val="24"/>
          <w:szCs w:val="24"/>
        </w:rPr>
        <w:t xml:space="preserve">3 RESULTADOS</w:t>
      </w:r>
    </w:p>
    <w:p>
      <w:pPr>
        <w:keepNext/>
        <w:spacing w:after="90" w:before="200" w:line="360" w:lineRule="auto"/>
      </w:pPr>
      <w:r>
        <w:rPr>
          <w:rFonts w:ascii="Times New Roman" w:cs="Times New Roman" w:eastAsia="Times New Roman" w:hAnsi="Times New Roman"/>
          <w:b/>
          <w:bCs/>
          <w:color w:val="000000"/>
          <w:sz w:val="24"/>
          <w:szCs w:val="24"/>
        </w:rPr>
        <w:t xml:space="preserve">3.1 Estatística descritiva do estado de humor</w:t>
      </w:r>
    </w:p>
    <w:p>
      <w:pPr>
        <w:spacing w:after="0" w:before="0" w:line="360" w:lineRule="auto"/>
        <w:ind w:firstLine="709"/>
        <w:jc w:val="both"/>
      </w:pPr>
      <w:r>
        <w:rPr>
          <w:rFonts w:ascii="Times New Roman" w:cs="Times New Roman" w:eastAsia="Times New Roman" w:hAnsi="Times New Roman"/>
          <w:color w:val="000000"/>
          <w:sz w:val="24"/>
          <w:szCs w:val="24"/>
        </w:rPr>
        <w:t xml:space="preserve">A descrição das dimensões do humor estabelece o ponto de partida da análise. A Tabela 2 reúne, para cada dimensão, as medidas de tendência central e de dispersão, além do intervalo de confiança de 95% da média, o que permite avaliar de modo simultâneo o nível típico e a variabilidade de cada construto.</w:t>
      </w:r>
    </w:p>
    <w:p>
      <w:pPr>
        <w:keepNext/>
        <w:spacing w:after="40" w:before="160" w:line="240"/>
        <w:jc w:val="left"/>
      </w:pPr>
      <w:r>
        <w:rPr>
          <w:rFonts w:ascii="Times New Roman" w:cs="Times New Roman" w:eastAsia="Times New Roman" w:hAnsi="Times New Roman"/>
          <w:b/>
          <w:bCs/>
          <w:color w:val="000000"/>
          <w:sz w:val="20"/>
          <w:szCs w:val="20"/>
        </w:rPr>
        <w:t xml:space="preserve">Tabela 2</w:t>
      </w:r>
      <w:r>
        <w:rPr>
          <w:rFonts w:ascii="Times New Roman" w:cs="Times New Roman" w:eastAsia="Times New Roman" w:hAnsi="Times New Roman"/>
          <w:color w:val="000000"/>
          <w:sz w:val="20"/>
          <w:szCs w:val="20"/>
        </w:rPr>
        <w:t xml:space="preserve"> – Estatística descritiva das dimensões do humor (escores BRUMS, 0 a 16)</w:t>
      </w:r>
    </w:p>
    <w:tbl>
      <w:tblPr>
        <w:tblW w:type="dxa" w:w="9505"/>
        <w:tblBorders>
          <w:top w:val="single" w:color="000000" w:sz="6"/>
          <w:left w:val="none"/>
          <w:bottom w:val="single" w:color="000000" w:sz="6"/>
          <w:right w:val="none"/>
          <w:insideH w:val="none"/>
          <w:insideV w:val="none"/>
        </w:tblBorders>
      </w:tblPr>
      <w:tblGrid>
        <w:gridCol w:w="1805"/>
        <w:gridCol w:w="950"/>
        <w:gridCol w:w="850"/>
        <w:gridCol w:w="1050"/>
        <w:gridCol w:w="750"/>
        <w:gridCol w:w="750"/>
        <w:gridCol w:w="900"/>
        <w:gridCol w:w="2450"/>
      </w:tblGrid>
      <w:tr>
        <w:trPr>
          <w:tblHeader/>
        </w:trPr>
        <w:tc>
          <w:tcPr>
            <w:tcW w:type="dxa" w:w="18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9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Média</w:t>
            </w:r>
          </w:p>
        </w:tc>
        <w:tc>
          <w:tcPr>
            <w:tcW w:type="dxa" w:w="8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DP</w:t>
            </w:r>
          </w:p>
        </w:tc>
        <w:tc>
          <w:tcPr>
            <w:tcW w:type="dxa" w:w="10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Mediana</w:t>
            </w:r>
          </w:p>
        </w:tc>
        <w:tc>
          <w:tcPr>
            <w:tcW w:type="dxa" w:w="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Mín.</w:t>
            </w:r>
          </w:p>
        </w:tc>
        <w:tc>
          <w:tcPr>
            <w:tcW w:type="dxa" w:w="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Máx.</w:t>
            </w:r>
          </w:p>
        </w:tc>
        <w:tc>
          <w:tcPr>
            <w:tcW w:type="dxa" w:w="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CV</w:t>
            </w:r>
          </w:p>
        </w:tc>
        <w:tc>
          <w:tcPr>
            <w:tcW w:type="dxa" w:w="24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 da média</w:t>
            </w:r>
          </w:p>
        </w:tc>
      </w:tr>
      <w:tr>
        <w:tc>
          <w:tcPr>
            <w:tcW w:type="dxa" w:w="18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5,7</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3,1</w:t>
            </w:r>
          </w:p>
        </w:tc>
        <w:tc>
          <w:tcPr>
            <w:tcW w:type="dxa" w:w="10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55%</w:t>
            </w:r>
          </w:p>
        </w:tc>
        <w:tc>
          <w:tcPr>
            <w:tcW w:type="dxa" w:w="2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[5,41; 5,98]</w:t>
            </w:r>
          </w:p>
        </w:tc>
      </w:tr>
      <w:tr>
        <w:tc>
          <w:tcPr>
            <w:tcW w:type="dxa" w:w="18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5,6</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3,9</w:t>
            </w:r>
          </w:p>
        </w:tc>
        <w:tc>
          <w:tcPr>
            <w:tcW w:type="dxa" w:w="10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69%</w:t>
            </w:r>
          </w:p>
        </w:tc>
        <w:tc>
          <w:tcPr>
            <w:tcW w:type="dxa" w:w="2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[5,29; 6,00]</w:t>
            </w:r>
          </w:p>
        </w:tc>
      </w:tr>
      <w:tr>
        <w:tc>
          <w:tcPr>
            <w:tcW w:type="dxa" w:w="18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6,1</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2,3</w:t>
            </w:r>
          </w:p>
        </w:tc>
        <w:tc>
          <w:tcPr>
            <w:tcW w:type="dxa" w:w="10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38%</w:t>
            </w:r>
          </w:p>
        </w:tc>
        <w:tc>
          <w:tcPr>
            <w:tcW w:type="dxa" w:w="2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[5,90; 6,33]</w:t>
            </w:r>
          </w:p>
        </w:tc>
      </w:tr>
      <w:tr>
        <w:tc>
          <w:tcPr>
            <w:tcW w:type="dxa" w:w="18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1,8</w:t>
            </w:r>
          </w:p>
        </w:tc>
        <w:tc>
          <w:tcPr>
            <w:tcW w:type="dxa" w:w="10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132%</w:t>
            </w:r>
          </w:p>
        </w:tc>
        <w:tc>
          <w:tcPr>
            <w:tcW w:type="dxa" w:w="2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[1,22; 1,56]</w:t>
            </w:r>
          </w:p>
        </w:tc>
      </w:tr>
      <w:tr>
        <w:tc>
          <w:tcPr>
            <w:tcW w:type="dxa" w:w="18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2,3</w:t>
            </w:r>
          </w:p>
        </w:tc>
        <w:tc>
          <w:tcPr>
            <w:tcW w:type="dxa" w:w="10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231%</w:t>
            </w:r>
          </w:p>
        </w:tc>
        <w:tc>
          <w:tcPr>
            <w:tcW w:type="dxa" w:w="2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[0,79; 1,21]</w:t>
            </w:r>
          </w:p>
        </w:tc>
      </w:tr>
      <w:tr>
        <w:tc>
          <w:tcPr>
            <w:tcW w:type="dxa" w:w="18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2,7</w:t>
            </w:r>
          </w:p>
        </w:tc>
        <w:tc>
          <w:tcPr>
            <w:tcW w:type="dxa" w:w="10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170%</w:t>
            </w:r>
          </w:p>
        </w:tc>
        <w:tc>
          <w:tcPr>
            <w:tcW w:type="dxa" w:w="2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[1,35; 1,85]</w:t>
            </w:r>
          </w:p>
        </w:tc>
      </w:tr>
      <w:tr>
        <w:tc>
          <w:tcPr>
            <w:tcW w:type="dxa" w:w="18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w:t>
            </w:r>
          </w:p>
        </w:tc>
        <w:tc>
          <w:tcPr>
            <w:tcW w:type="dxa" w:w="10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263%</w:t>
            </w:r>
          </w:p>
        </w:tc>
        <w:tc>
          <w:tcPr>
            <w:tcW w:type="dxa" w:w="2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[0,34; 0,56]</w:t>
            </w:r>
          </w:p>
        </w:tc>
      </w:tr>
      <w:tr>
        <w:tc>
          <w:tcPr>
            <w:tcW w:type="dxa" w:w="18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9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4,4</w:t>
            </w:r>
          </w:p>
        </w:tc>
        <w:tc>
          <w:tcPr>
            <w:tcW w:type="dxa" w:w="8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9,6</w:t>
            </w:r>
          </w:p>
        </w:tc>
        <w:tc>
          <w:tcPr>
            <w:tcW w:type="dxa" w:w="10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2,0</w:t>
            </w:r>
          </w:p>
        </w:tc>
        <w:tc>
          <w:tcPr>
            <w:tcW w:type="dxa" w:w="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w:t>
            </w:r>
          </w:p>
        </w:tc>
        <w:tc>
          <w:tcPr>
            <w:tcW w:type="dxa" w:w="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52</w:t>
            </w:r>
          </w:p>
        </w:tc>
        <w:tc>
          <w:tcPr>
            <w:tcW w:type="dxa" w:w="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220%</w:t>
            </w:r>
          </w:p>
        </w:tc>
        <w:tc>
          <w:tcPr>
            <w:tcW w:type="dxa" w:w="24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[3,51; 5,28]</w:t>
            </w:r>
          </w:p>
        </w:tc>
      </w:tr>
    </w:tbl>
    <w:p>
      <w:pPr>
        <w:spacing w:after="180" w:before="40" w:line="240"/>
        <w:jc w:val="left"/>
      </w:pPr>
      <w:r>
        <w:rPr>
          <w:rFonts w:ascii="Times New Roman" w:cs="Times New Roman" w:eastAsia="Times New Roman" w:hAnsi="Times New Roman"/>
          <w:color w:val="3f3f3f"/>
          <w:sz w:val="20"/>
          <w:szCs w:val="20"/>
        </w:rPr>
        <w:t xml:space="preserve">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A leitura da tabela revela dois agrupamentos nítidos. As dimensões de ativação e de cansaço, ou seja, o vigor, a fadiga e a fadiga física, apresentam médias intermediárias, medianas próximas das médias e dispersão relativa contida, o que sugere leituras estáveis. Em contraste, as dimensões negativas, a tensão, a depressão, a raiva e a confusão, exibem médias baixas e medianas ainda menores, com desvios amplos. Esse quadro reflete a concentração de muitos escores próximos de zero, fenômeno que amplia o coeficiente de variação sem que a oscilação absoluta seja expressiva. A reflexão pertinente aqui diz respeito à interpretação: um coeficiente de variação elevado em uma dimensão de piso não indica instabilidade do atleta, mas sim a assimetria natural de um construto que raramente se manifesta em repouso.</w:t>
      </w:r>
    </w:p>
    <w:p>
      <w:pPr>
        <w:keepNext/>
        <w:spacing w:after="90" w:before="200" w:line="360" w:lineRule="auto"/>
      </w:pPr>
      <w:r>
        <w:rPr>
          <w:rFonts w:ascii="Times New Roman" w:cs="Times New Roman" w:eastAsia="Times New Roman" w:hAnsi="Times New Roman"/>
          <w:b/>
          <w:bCs/>
          <w:color w:val="000000"/>
          <w:sz w:val="24"/>
          <w:szCs w:val="24"/>
        </w:rPr>
        <w:t xml:space="preserve">3.2 Confiabilidade entre as medidas</w:t>
      </w:r>
    </w:p>
    <w:p>
      <w:pPr>
        <w:spacing w:after="0" w:before="0" w:line="360" w:lineRule="auto"/>
        <w:ind w:firstLine="709"/>
        <w:jc w:val="both"/>
      </w:pPr>
      <w:r>
        <w:rPr>
          <w:rFonts w:ascii="Times New Roman" w:cs="Times New Roman" w:eastAsia="Times New Roman" w:hAnsi="Times New Roman"/>
          <w:color w:val="000000"/>
          <w:sz w:val="24"/>
          <w:szCs w:val="24"/>
        </w:rPr>
        <w:t xml:space="preserve">A utilidade de um marcador para o monitoramento depende da sua reprodutibilidade. A Tabela 3 apresenta a confiabilidade entre dias, expressa pelo ICC(A,1) e pelo ICC(A,k), acompanhados dos respectivos intervalos de confiança, e complementa a leitura com o ômega de McDonald, que estima a consistência interna de cada dimensão.</w:t>
      </w:r>
    </w:p>
    <w:p>
      <w:pPr>
        <w:keepNext/>
        <w:spacing w:after="40" w:before="160" w:line="240"/>
        <w:jc w:val="left"/>
      </w:pPr>
      <w:r>
        <w:rPr>
          <w:rFonts w:ascii="Times New Roman" w:cs="Times New Roman" w:eastAsia="Times New Roman" w:hAnsi="Times New Roman"/>
          <w:b/>
          <w:bCs/>
          <w:color w:val="000000"/>
          <w:sz w:val="20"/>
          <w:szCs w:val="20"/>
        </w:rPr>
        <w:t xml:space="preserve">Tabela 3</w:t>
      </w:r>
      <w:r>
        <w:rPr>
          <w:rFonts w:ascii="Times New Roman" w:cs="Times New Roman" w:eastAsia="Times New Roman" w:hAnsi="Times New Roman"/>
          <w:color w:val="000000"/>
          <w:sz w:val="20"/>
          <w:szCs w:val="20"/>
        </w:rPr>
        <w:t xml:space="preserve"> – Confiabilidade entre dias (ICC) e consistência interna (ômega) das dimensões do humor</w:t>
      </w:r>
    </w:p>
    <w:tbl>
      <w:tblPr>
        <w:tblW w:type="dxa" w:w="9505"/>
        <w:tblBorders>
          <w:top w:val="single" w:color="000000" w:sz="6"/>
          <w:left w:val="none"/>
          <w:bottom w:val="single" w:color="000000" w:sz="6"/>
          <w:right w:val="none"/>
          <w:insideH w:val="none"/>
          <w:insideV w:val="none"/>
        </w:tblBorders>
      </w:tblPr>
      <w:tblGrid>
        <w:gridCol w:w="2005"/>
        <w:gridCol w:w="1200"/>
        <w:gridCol w:w="1900"/>
        <w:gridCol w:w="1200"/>
        <w:gridCol w:w="1900"/>
        <w:gridCol w:w="1300"/>
      </w:tblGrid>
      <w:tr>
        <w:trPr>
          <w:tblHeader/>
        </w:trPr>
        <w:tc>
          <w:tcPr>
            <w:tcW w:type="dxa" w:w="20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ICC(A,1)</w:t>
            </w:r>
          </w:p>
        </w:tc>
        <w:tc>
          <w:tcPr>
            <w:tcW w:type="dxa" w:w="1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1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ICC(A,k)</w:t>
            </w:r>
          </w:p>
        </w:tc>
        <w:tc>
          <w:tcPr>
            <w:tcW w:type="dxa" w:w="1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Ômega</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0,57</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[0,39; 0,76]</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0,90</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[0,81; 0,96]</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0,78</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0,69</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[0,52; 0,84]</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0,94</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[0,88; 0,97]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0,83</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0,54</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[0,33; 0,75]</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0,89</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[0,78; 0,95]</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0,67</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[0,50; 0,83]</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0,93</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[0,88; 0,97]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0,47</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0,79</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[0,66; 0,90]</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0,96</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[0,93; 0,98]</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0,87</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0,37</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[0,20; 0,60]</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0,81</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[0,64; 0,91]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0,87</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0,50</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[0,31; 0,70]</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0,87</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[0,76; 0,94]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0,68</w:t>
            </w:r>
          </w:p>
        </w:tc>
      </w:tr>
      <w:tr>
        <w:tc>
          <w:tcPr>
            <w:tcW w:type="dxa" w:w="20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0,71</w:t>
            </w:r>
          </w:p>
        </w:tc>
        <w:tc>
          <w:tcPr>
            <w:tcW w:type="dxa" w:w="1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[0,56; 0,85]</w:t>
            </w:r>
          </w:p>
        </w:tc>
        <w:tc>
          <w:tcPr>
            <w:tcW w:type="dxa" w:w="1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0,95</w:t>
            </w:r>
          </w:p>
        </w:tc>
        <w:tc>
          <w:tcPr>
            <w:tcW w:type="dxa" w:w="1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[0,90; 0,98]</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w:t>
            </w:r>
          </w:p>
        </w:tc>
      </w:tr>
    </w:tbl>
    <w:p>
      <w:pPr>
        <w:spacing w:after="180" w:before="40" w:line="240"/>
        <w:jc w:val="left"/>
      </w:pPr>
      <w:r>
        <w:rPr>
          <w:rFonts w:ascii="Times New Roman" w:cs="Times New Roman" w:eastAsia="Times New Roman" w:hAnsi="Times New Roman"/>
          <w:color w:val="3f3f3f"/>
          <w:sz w:val="20"/>
          <w:szCs w:val="20"/>
        </w:rPr>
        <w:t xml:space="preserve">Nota: ICC(A,1) refere-se a uma medida isolada; ICC(A,k), à média da semana; casos completos (n = 19).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Os resultados sustentam uma conclusão de ordem prática. Uma única medida diária já oferece concordância moderada a substancial para a maior parte das dimensões, e a média semanal eleva de modo expressivo essa concordância, com valores de ICC(A,k) próximos do teto. Em termos aplicados, isso significa que uma leitura pontual serve ao alerta imediato, ao passo que a agregação de vários dias entrega uma estimativa muito mais fiel do estado do atleta. A consistência interna, por sua vez, mostra-se satisfatória, o que respalda o emprego das dimensões tanto de forma isolada quanto combinada na perturbação total do humor.</w:t>
      </w:r>
    </w:p>
    <w:p>
      <w:pPr>
        <w:keepNext/>
        <w:spacing w:after="90" w:before="200" w:line="360" w:lineRule="auto"/>
      </w:pPr>
      <w:r>
        <w:rPr>
          <w:rFonts w:ascii="Times New Roman" w:cs="Times New Roman" w:eastAsia="Times New Roman" w:hAnsi="Times New Roman"/>
          <w:b/>
          <w:bCs/>
          <w:color w:val="000000"/>
          <w:sz w:val="24"/>
          <w:szCs w:val="24"/>
        </w:rPr>
        <w:t xml:space="preserve">3.3 Sonolência e estresse percebido</w:t>
      </w:r>
    </w:p>
    <w:p>
      <w:pPr>
        <w:spacing w:after="0" w:before="0" w:line="360" w:lineRule="auto"/>
        <w:ind w:firstLine="709"/>
        <w:jc w:val="both"/>
      </w:pPr>
      <w:r>
        <w:rPr>
          <w:rFonts w:ascii="Times New Roman" w:cs="Times New Roman" w:eastAsia="Times New Roman" w:hAnsi="Times New Roman"/>
          <w:color w:val="000000"/>
          <w:sz w:val="24"/>
          <w:szCs w:val="24"/>
        </w:rPr>
        <w:t xml:space="preserve">A Tabela 4 descreve a sonolência diurna e o estresse percebido, medidas externas ao BRUMS que ampliam o retrato do estado do atleta. Além das estatísticas usuais, a tabela informa a confiabilidade entre dias da sonolência, cuja estrutura repetida permite o cálculo do ICC.</w:t>
      </w:r>
    </w:p>
    <w:p>
      <w:pPr>
        <w:keepNext/>
        <w:spacing w:after="40" w:before="160" w:line="240"/>
        <w:jc w:val="left"/>
      </w:pPr>
      <w:r>
        <w:rPr>
          <w:rFonts w:ascii="Times New Roman" w:cs="Times New Roman" w:eastAsia="Times New Roman" w:hAnsi="Times New Roman"/>
          <w:b/>
          <w:bCs/>
          <w:color w:val="000000"/>
          <w:sz w:val="20"/>
          <w:szCs w:val="20"/>
        </w:rPr>
        <w:t xml:space="preserve">Tabela 4</w:t>
      </w:r>
      <w:r>
        <w:rPr>
          <w:rFonts w:ascii="Times New Roman" w:cs="Times New Roman" w:eastAsia="Times New Roman" w:hAnsi="Times New Roman"/>
          <w:color w:val="000000"/>
          <w:sz w:val="20"/>
          <w:szCs w:val="20"/>
        </w:rPr>
        <w:t xml:space="preserve"> – Estatística descritiva da sonolência (Epworth) e do estresse percebido (PSS)</w:t>
      </w:r>
    </w:p>
    <w:tbl>
      <w:tblPr>
        <w:tblW w:type="dxa" w:w="9505"/>
        <w:tblBorders>
          <w:top w:val="single" w:color="000000" w:sz="6"/>
          <w:left w:val="none"/>
          <w:bottom w:val="single" w:color="000000" w:sz="6"/>
          <w:right w:val="none"/>
          <w:insideH w:val="none"/>
          <w:insideV w:val="none"/>
        </w:tblBorders>
      </w:tblPr>
      <w:tblGrid>
        <w:gridCol w:w="2400"/>
        <w:gridCol w:w="850"/>
        <w:gridCol w:w="750"/>
        <w:gridCol w:w="950"/>
        <w:gridCol w:w="700"/>
        <w:gridCol w:w="700"/>
        <w:gridCol w:w="1355"/>
        <w:gridCol w:w="1800"/>
      </w:tblGrid>
      <w:tr>
        <w:trPr>
          <w:tblHeader/>
        </w:trPr>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Medida</w:t>
            </w:r>
          </w:p>
        </w:tc>
        <w:tc>
          <w:tcPr>
            <w:tcW w:type="dxa" w:w="8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Média</w:t>
            </w:r>
          </w:p>
        </w:tc>
        <w:tc>
          <w:tcPr>
            <w:tcW w:type="dxa" w:w="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DP</w:t>
            </w:r>
          </w:p>
        </w:tc>
        <w:tc>
          <w:tcPr>
            <w:tcW w:type="dxa" w:w="9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Mediana</w:t>
            </w:r>
          </w:p>
        </w:tc>
        <w:tc>
          <w:tcPr>
            <w:tcW w:type="dxa" w:w="7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Mín.</w:t>
            </w:r>
          </w:p>
        </w:tc>
        <w:tc>
          <w:tcPr>
            <w:tcW w:type="dxa" w:w="7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Máx.</w:t>
            </w:r>
          </w:p>
        </w:tc>
        <w:tc>
          <w:tcPr>
            <w:tcW w:type="dxa" w:w="135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1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ICC(A,1) [IC]</w:t>
            </w:r>
          </w:p>
        </w:tc>
      </w:tr>
      <w:tr>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Epworth (sonolência)</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9,6</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4,6</w:t>
            </w:r>
          </w:p>
        </w:tc>
        <w:tc>
          <w:tcPr>
            <w:tcW w:type="dxa" w:w="9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9,9</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18</w:t>
            </w:r>
          </w:p>
        </w:tc>
        <w:tc>
          <w:tcPr>
            <w:tcW w:type="dxa" w:w="135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[8,92; 10,33]</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0,80 [0,67; 0,90]</w:t>
            </w:r>
          </w:p>
        </w:tc>
      </w:tr>
      <w:tr>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PSS (estresse)</w:t>
            </w:r>
          </w:p>
        </w:tc>
        <w:tc>
          <w:tcPr>
            <w:tcW w:type="dxa" w:w="8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22,0</w:t>
            </w:r>
          </w:p>
        </w:tc>
        <w:tc>
          <w:tcPr>
            <w:tcW w:type="dxa" w:w="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4,6</w:t>
            </w:r>
          </w:p>
        </w:tc>
        <w:tc>
          <w:tcPr>
            <w:tcW w:type="dxa" w:w="9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22,0</w:t>
            </w:r>
          </w:p>
        </w:tc>
        <w:tc>
          <w:tcPr>
            <w:tcW w:type="dxa" w:w="7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w:t>
            </w:r>
          </w:p>
        </w:tc>
        <w:tc>
          <w:tcPr>
            <w:tcW w:type="dxa" w:w="7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38</w:t>
            </w:r>
          </w:p>
        </w:tc>
        <w:tc>
          <w:tcPr>
            <w:tcW w:type="dxa" w:w="135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[21,25; 22,66]</w:t>
            </w:r>
          </w:p>
        </w:tc>
        <w:tc>
          <w:tcPr>
            <w:tcW w:type="dxa" w:w="1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0,64 [0,47; 0,81]</w:t>
            </w:r>
          </w:p>
        </w:tc>
      </w:tr>
    </w:tbl>
    <w:p>
      <w:pPr>
        <w:spacing w:after="180" w:before="40" w:line="240"/>
        <w:jc w:val="left"/>
      </w:pPr>
      <w:r>
        <w:rPr>
          <w:rFonts w:ascii="Times New Roman" w:cs="Times New Roman" w:eastAsia="Times New Roman" w:hAnsi="Times New Roman"/>
          <w:color w:val="3f3f3f"/>
          <w:sz w:val="20"/>
          <w:szCs w:val="20"/>
        </w:rPr>
        <w:t xml:space="preserve">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A sonolência situou-se em faixa leve a moderada e apresentou confiabilidade substancial entre dias, o que a credencia como marcador estável de recuperação. O estresse percebido manteve nível intermediário e dispersão moderada. A comparação entre as duas medidas antecipa um contraste que as seções seguintes aprofundam: a sonolência integra o mesmo eixo do cansaço físico, ao passo que o estresse percebido guarda dinâmica própria.</w:t>
      </w:r>
    </w:p>
    <w:p>
      <w:pPr>
        <w:keepNext/>
        <w:spacing w:after="90" w:before="200" w:line="360" w:lineRule="auto"/>
      </w:pPr>
      <w:r>
        <w:rPr>
          <w:rFonts w:ascii="Times New Roman" w:cs="Times New Roman" w:eastAsia="Times New Roman" w:hAnsi="Times New Roman"/>
          <w:b/>
          <w:bCs/>
          <w:color w:val="000000"/>
          <w:sz w:val="24"/>
          <w:szCs w:val="24"/>
        </w:rPr>
        <w:t xml:space="preserve">3.4 Aptidão aeróbia e neuromuscular (T-CAR)</w:t>
      </w:r>
    </w:p>
    <w:p>
      <w:pPr>
        <w:spacing w:after="0" w:before="0" w:line="360" w:lineRule="auto"/>
        <w:ind w:firstLine="709"/>
        <w:jc w:val="both"/>
      </w:pPr>
      <w:r>
        <w:rPr>
          <w:rFonts w:ascii="Times New Roman" w:cs="Times New Roman" w:eastAsia="Times New Roman" w:hAnsi="Times New Roman"/>
          <w:color w:val="000000"/>
          <w:sz w:val="24"/>
          <w:szCs w:val="24"/>
        </w:rPr>
        <w:t xml:space="preserve">A caracterização física recorreu ao teste de campo T-CAR e a uma bateria complementar. A Tabela 5 detalha todas as métricas do T-CAR na condição pré e pós, com o tamanho de efeito da adaptação e o respectivo intervalo de confiança.</w:t>
      </w:r>
    </w:p>
    <w:p>
      <w:pPr>
        <w:keepNext/>
        <w:spacing w:after="40" w:before="160" w:line="240"/>
        <w:jc w:val="left"/>
      </w:pPr>
      <w:r>
        <w:rPr>
          <w:rFonts w:ascii="Times New Roman" w:cs="Times New Roman" w:eastAsia="Times New Roman" w:hAnsi="Times New Roman"/>
          <w:b/>
          <w:bCs/>
          <w:color w:val="000000"/>
          <w:sz w:val="20"/>
          <w:szCs w:val="20"/>
        </w:rPr>
        <w:t xml:space="preserve">Tabela 5</w:t>
      </w:r>
      <w:r>
        <w:rPr>
          <w:rFonts w:ascii="Times New Roman" w:cs="Times New Roman" w:eastAsia="Times New Roman" w:hAnsi="Times New Roman"/>
          <w:color w:val="000000"/>
          <w:sz w:val="20"/>
          <w:szCs w:val="20"/>
        </w:rPr>
        <w:t xml:space="preserve"> – Descritiva e adaptação (pré→pós) das métricas do T-CAR e da bateria neuromuscular</w:t>
      </w:r>
    </w:p>
    <w:tbl>
      <w:tblPr>
        <w:tblW w:type="dxa" w:w="9505"/>
        <w:tblBorders>
          <w:top w:val="single" w:color="000000" w:sz="6"/>
          <w:left w:val="none"/>
          <w:bottom w:val="single" w:color="000000" w:sz="6"/>
          <w:right w:val="none"/>
          <w:insideH w:val="none"/>
          <w:insideV w:val="none"/>
        </w:tblBorders>
      </w:tblPr>
      <w:tblGrid>
        <w:gridCol w:w="2500"/>
        <w:gridCol w:w="1250"/>
        <w:gridCol w:w="1150"/>
        <w:gridCol w:w="1250"/>
        <w:gridCol w:w="750"/>
        <w:gridCol w:w="1300"/>
        <w:gridCol w:w="700"/>
        <w:gridCol w:w="605"/>
      </w:tblGrid>
      <w:tr>
        <w:trPr>
          <w:tblHeader/>
        </w:trPr>
        <w:tc>
          <w:tcPr>
            <w:tcW w:type="dxa" w:w="25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Métrica</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Pré (M±DP)</w:t>
            </w:r>
          </w:p>
        </w:tc>
        <w:tc>
          <w:tcPr>
            <w:tcW w:type="dxa" w:w="11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Amplitude pré</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Pós (M±DP)</w:t>
            </w:r>
          </w:p>
        </w:tc>
        <w:tc>
          <w:tcPr>
            <w:tcW w:type="dxa" w:w="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7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Magn.</w:t>
            </w:r>
          </w:p>
        </w:tc>
        <w:tc>
          <w:tcPr>
            <w:tcW w:type="dxa" w:w="6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r>
      <w:tr>
        <w:tc>
          <w:tcPr>
            <w:tcW w:type="dxa" w:w="25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Pico de velocidade (PV) (km/h)</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14,9 ± 1,1</w:t>
            </w:r>
          </w:p>
        </w:tc>
        <w:tc>
          <w:tcPr>
            <w:tcW w:type="dxa" w:w="11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13,2 a 17,5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15,7 ± 1,3</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+0,93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[0,54; 1,51]</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grande</w:t>
            </w:r>
          </w:p>
        </w:tc>
        <w:tc>
          <w:tcPr>
            <w:tcW w:type="dxa" w:w="6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r>
      <w:tr>
        <w:tc>
          <w:tcPr>
            <w:tcW w:type="dxa" w:w="25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FC máxima no teste (bpm)</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195,5 ± 7,5</w:t>
            </w:r>
          </w:p>
        </w:tc>
        <w:tc>
          <w:tcPr>
            <w:tcW w:type="dxa" w:w="11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178,0 a 209,0</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193,3 ± 7,4</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[-0,70; 0,03]</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c>
          <w:tcPr>
            <w:tcW w:type="dxa" w:w="6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0,180</w:t>
            </w:r>
          </w:p>
        </w:tc>
      </w:tr>
      <w:tr>
        <w:tc>
          <w:tcPr>
            <w:tcW w:type="dxa" w:w="25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Repetições completadas (n)</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54,0 ± 9,4</w:t>
            </w:r>
          </w:p>
        </w:tc>
        <w:tc>
          <w:tcPr>
            <w:tcW w:type="dxa" w:w="11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40,0 a 76,0</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60,6 ± 10,6</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+0,94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[0,56; 1,51]</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grande</w:t>
            </w:r>
          </w:p>
        </w:tc>
        <w:tc>
          <w:tcPr>
            <w:tcW w:type="dxa" w:w="6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r>
      <w:tr>
        <w:tc>
          <w:tcPr>
            <w:tcW w:type="dxa" w:w="25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Salto com contramovimento (CMJ) (cm)</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39,8 ± 5,2</w:t>
            </w:r>
          </w:p>
        </w:tc>
        <w:tc>
          <w:tcPr>
            <w:tcW w:type="dxa" w:w="11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30,0 a 53,1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40,9 ± 5,6</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[0,09; 0,92]</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c>
          <w:tcPr>
            <w:tcW w:type="dxa" w:w="6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0,040</w:t>
            </w:r>
          </w:p>
        </w:tc>
      </w:tr>
      <w:tr>
        <w:tc>
          <w:tcPr>
            <w:tcW w:type="dxa" w:w="25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Baker melhor tempo (s)</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8,4 ± 0,4</w:t>
            </w:r>
          </w:p>
        </w:tc>
        <w:tc>
          <w:tcPr>
            <w:tcW w:type="dxa" w:w="11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7,8 a 9,6</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8,2 ± 0,3</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-0,60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[-1,12; -0,22]</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médio</w:t>
            </w:r>
          </w:p>
        </w:tc>
        <w:tc>
          <w:tcPr>
            <w:tcW w:type="dxa" w:w="6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0,011</w:t>
            </w:r>
          </w:p>
        </w:tc>
      </w:tr>
      <w:tr>
        <w:tc>
          <w:tcPr>
            <w:tcW w:type="dxa" w:w="25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Baker tempo total (s)</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70,7 ± 2,9</w:t>
            </w:r>
          </w:p>
        </w:tc>
        <w:tc>
          <w:tcPr>
            <w:tcW w:type="dxa" w:w="11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66,5 a 79,0</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68,7 ± 2,2</w:t>
            </w:r>
          </w:p>
        </w:tc>
        <w:tc>
          <w:tcPr>
            <w:tcW w:type="dxa" w:w="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-1,08</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[-1,87; -0,64]</w:t>
            </w:r>
          </w:p>
        </w:tc>
        <w:tc>
          <w:tcPr>
            <w:tcW w:type="dxa" w:w="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grande</w:t>
            </w:r>
          </w:p>
        </w:tc>
        <w:tc>
          <w:tcPr>
            <w:tcW w:type="dxa" w:w="6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r>
      <w:tr>
        <w:tc>
          <w:tcPr>
            <w:tcW w:type="dxa" w:w="25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Baker índice de fadiga (%)</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4,6 ± 2,0</w:t>
            </w:r>
          </w:p>
        </w:tc>
        <w:tc>
          <w:tcPr>
            <w:tcW w:type="dxa" w:w="11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 a 10,2</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3,5 ± 1,7</w:t>
            </w:r>
          </w:p>
        </w:tc>
        <w:tc>
          <w:tcPr>
            <w:tcW w:type="dxa" w:w="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-0,67</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[-1,27; -0,26]</w:t>
            </w:r>
          </w:p>
        </w:tc>
        <w:tc>
          <w:tcPr>
            <w:tcW w:type="dxa" w:w="7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médio</w:t>
            </w:r>
          </w:p>
        </w:tc>
        <w:tc>
          <w:tcPr>
            <w:tcW w:type="dxa" w:w="6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0,005</w:t>
            </w:r>
          </w:p>
        </w:tc>
      </w:tr>
    </w:tbl>
    <w:p>
      <w:pPr>
        <w:spacing w:after="180" w:before="40" w:line="240"/>
        <w:jc w:val="left"/>
      </w:pPr>
      <w:r>
        <w:rPr>
          <w:rFonts w:ascii="Times New Roman" w:cs="Times New Roman" w:eastAsia="Times New Roman" w:hAnsi="Times New Roman"/>
          <w:color w:val="3f3f3f"/>
          <w:sz w:val="20"/>
          <w:szCs w:val="20"/>
        </w:rPr>
        <w:t xml:space="preserve">Nota: amostra física (n = 24), esquema de anonimização independente. p do teste de Wilcoxon pareado; IC 95% do dz por reamostragem. Fonte: Dados da pesquisa (2026).</w:t>
      </w:r>
    </w:p>
    <w:p>
      <w:pPr>
        <w:keepNext/>
        <w:spacing w:after="40" w:before="160" w:line="240"/>
        <w:jc w:val="center"/>
      </w:pPr>
      <w:r>
        <w:rPr>
          <w:rFonts w:ascii="Times New Roman" w:cs="Times New Roman" w:eastAsia="Times New Roman" w:hAnsi="Times New Roman"/>
          <w:b/>
          <w:bCs/>
          <w:color w:val="000000"/>
          <w:sz w:val="20"/>
          <w:szCs w:val="20"/>
        </w:rPr>
        <w:t xml:space="preserve">Figura 2</w:t>
      </w:r>
      <w:r>
        <w:rPr>
          <w:rFonts w:ascii="Times New Roman" w:cs="Times New Roman" w:eastAsia="Times New Roman" w:hAnsi="Times New Roman"/>
          <w:color w:val="000000"/>
          <w:sz w:val="20"/>
          <w:szCs w:val="20"/>
        </w:rPr>
        <w:t xml:space="preserve"> – Adaptação pré→pós das principais métricas do T-CAR</w:t>
      </w:r>
    </w:p>
    <w:p>
      <w:pPr>
        <w:spacing w:after="0" w:before="4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pico de velocidade progrediu de forma expressiva entre os dois momentos, com efeito grande, o que evidencia a resposta aeróbia ao período de trabalho. A frequência cardíaca máxima permaneceu praticamente estável, comportamento esperado para um parâmetro de teto fisiológico, ao passo que o número de repetições completadas cresceu de maneira relevante. A bateria neuromuscular acompanhou a mesma direção adaptativa, com melhora do salto vertical e redução do tempo total no teste de Baker. Convém observar que essa amostra física constitui grupo correlato, e não a mesma unidade das análises de humor, razão pela qual as duas leituras dialogam sem se sobrepor.</w:t>
      </w:r>
    </w:p>
    <w:p>
      <w:pPr>
        <w:keepNext/>
        <w:spacing w:after="40" w:before="160" w:line="240"/>
        <w:jc w:val="left"/>
      </w:pPr>
      <w:r>
        <w:rPr>
          <w:rFonts w:ascii="Times New Roman" w:cs="Times New Roman" w:eastAsia="Times New Roman" w:hAnsi="Times New Roman"/>
          <w:b/>
          <w:bCs/>
          <w:color w:val="000000"/>
          <w:sz w:val="20"/>
          <w:szCs w:val="20"/>
        </w:rPr>
        <w:t xml:space="preserve">Tabela 6</w:t>
      </w:r>
      <w:r>
        <w:rPr>
          <w:rFonts w:ascii="Times New Roman" w:cs="Times New Roman" w:eastAsia="Times New Roman" w:hAnsi="Times New Roman"/>
          <w:color w:val="000000"/>
          <w:sz w:val="20"/>
          <w:szCs w:val="20"/>
        </w:rPr>
        <w:t xml:space="preserve"> – Caracterização antropométrica e carga percebida da sessão de HIIT</w:t>
      </w:r>
    </w:p>
    <w:tbl>
      <w:tblPr>
        <w:tblW w:type="dxa" w:w="9505"/>
        <w:tblBorders>
          <w:top w:val="single" w:color="000000" w:sz="6"/>
          <w:left w:val="none"/>
          <w:bottom w:val="single" w:color="000000" w:sz="6"/>
          <w:right w:val="none"/>
          <w:insideH w:val="none"/>
          <w:insideV w:val="none"/>
        </w:tblBorders>
      </w:tblPr>
      <w:tblGrid>
        <w:gridCol w:w="3200"/>
        <w:gridCol w:w="1400"/>
        <w:gridCol w:w="1300"/>
        <w:gridCol w:w="1600"/>
        <w:gridCol w:w="2005"/>
      </w:tblGrid>
      <w:tr>
        <w:trPr>
          <w:tblHeader/>
        </w:trPr>
        <w:tc>
          <w:tcPr>
            <w:tcW w:type="dxa" w:w="3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Variável</w:t>
            </w:r>
          </w:p>
        </w:tc>
        <w:tc>
          <w:tcPr>
            <w:tcW w:type="dxa" w:w="1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Média</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DP</w:t>
            </w:r>
          </w:p>
        </w:tc>
        <w:tc>
          <w:tcPr>
            <w:tcW w:type="dxa" w:w="16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Mediana</w:t>
            </w:r>
          </w:p>
        </w:tc>
        <w:tc>
          <w:tcPr>
            <w:tcW w:type="dxa" w:w="20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Amplitude</w:t>
            </w:r>
          </w:p>
        </w:tc>
      </w:tr>
      <w:tr>
        <w:tc>
          <w:tcPr>
            <w:tcW w:type="dxa" w:w="32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Idade (anos)</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21,5</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2,0</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21,0</w:t>
            </w:r>
          </w:p>
        </w:tc>
        <w:tc>
          <w:tcPr>
            <w:tcW w:type="dxa" w:w="20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18,0 a 24,0</w:t>
            </w:r>
          </w:p>
        </w:tc>
      </w:tr>
      <w:tr>
        <w:tc>
          <w:tcPr>
            <w:tcW w:type="dxa" w:w="32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Estatura (m)</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182,8</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6,5</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182,6</w:t>
            </w:r>
          </w:p>
        </w:tc>
        <w:tc>
          <w:tcPr>
            <w:tcW w:type="dxa" w:w="20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170,8 a 200,0</w:t>
            </w:r>
          </w:p>
        </w:tc>
      </w:tr>
      <w:tr>
        <w:tc>
          <w:tcPr>
            <w:tcW w:type="dxa" w:w="32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Massa corporal (kg)</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85,1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15,6</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82,3</w:t>
            </w:r>
          </w:p>
        </w:tc>
        <w:tc>
          <w:tcPr>
            <w:tcW w:type="dxa" w:w="20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60,5 a 128,9</w:t>
            </w:r>
          </w:p>
        </w:tc>
      </w:tr>
      <w:tr>
        <w:tc>
          <w:tcPr>
            <w:tcW w:type="dxa" w:w="32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Gordura corporal (%)</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5,0</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10,2</w:t>
            </w:r>
          </w:p>
        </w:tc>
        <w:tc>
          <w:tcPr>
            <w:tcW w:type="dxa" w:w="20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5,0 a 21,5</w:t>
            </w:r>
          </w:p>
        </w:tc>
      </w:tr>
      <w:tr>
        <w:tc>
          <w:tcPr>
            <w:tcW w:type="dxa" w:w="32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PSE da sessão (u.a.)</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8,3</w:t>
            </w:r>
          </w:p>
        </w:tc>
        <w:tc>
          <w:tcPr>
            <w:tcW w:type="dxa" w:w="20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7,0 a 9,2</w:t>
            </w:r>
          </w:p>
        </w:tc>
      </w:tr>
      <w:tr>
        <w:tc>
          <w:tcPr>
            <w:tcW w:type="dxa" w:w="32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TRIMP (u.a.)</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80,6</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5,6</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82,2</w:t>
            </w:r>
          </w:p>
        </w:tc>
        <w:tc>
          <w:tcPr>
            <w:tcW w:type="dxa" w:w="20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69,7 a 90,1</w:t>
            </w:r>
          </w:p>
        </w:tc>
      </w:tr>
      <w:tr>
        <w:tc>
          <w:tcPr>
            <w:tcW w:type="dxa" w:w="32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Carga (% FC) (%)</w:t>
            </w:r>
          </w:p>
        </w:tc>
        <w:tc>
          <w:tcPr>
            <w:tcW w:type="dxa" w:w="1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78,2</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2,3</w:t>
            </w:r>
          </w:p>
        </w:tc>
        <w:tc>
          <w:tcPr>
            <w:tcW w:type="dxa" w:w="16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78,9</w:t>
            </w:r>
          </w:p>
        </w:tc>
        <w:tc>
          <w:tcPr>
            <w:tcW w:type="dxa" w:w="20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73,9 a 82,1</w:t>
            </w:r>
          </w:p>
        </w:tc>
      </w:tr>
    </w:tbl>
    <w:p>
      <w:pPr>
        <w:spacing w:after="180" w:before="40" w:line="240"/>
        <w:jc w:val="left"/>
      </w:pPr>
      <w:r>
        <w:rPr>
          <w:rFonts w:ascii="Times New Roman" w:cs="Times New Roman" w:eastAsia="Times New Roman" w:hAnsi="Times New Roman"/>
          <w:color w:val="3f3f3f"/>
          <w:sz w:val="20"/>
          <w:szCs w:val="20"/>
        </w:rPr>
        <w:t xml:space="preserve">Fonte: Dados da pesquisa (2026).</w:t>
      </w:r>
    </w:p>
    <w:p>
      <w:pPr>
        <w:keepNext/>
        <w:spacing w:after="90" w:before="200" w:line="360" w:lineRule="auto"/>
      </w:pPr>
      <w:r>
        <w:rPr>
          <w:rFonts w:ascii="Times New Roman" w:cs="Times New Roman" w:eastAsia="Times New Roman" w:hAnsi="Times New Roman"/>
          <w:b/>
          <w:bCs/>
          <w:color w:val="000000"/>
          <w:sz w:val="24"/>
          <w:szCs w:val="24"/>
        </w:rPr>
        <w:t xml:space="preserve">3.5 Trajetória semanal e pontos de inflexão</w:t>
      </w:r>
    </w:p>
    <w:p>
      <w:pPr>
        <w:spacing w:after="0" w:before="0" w:line="360" w:lineRule="auto"/>
        <w:ind w:firstLine="709"/>
        <w:jc w:val="both"/>
      </w:pPr>
      <w:r>
        <w:rPr>
          <w:rFonts w:ascii="Times New Roman" w:cs="Times New Roman" w:eastAsia="Times New Roman" w:hAnsi="Times New Roman"/>
          <w:color w:val="000000"/>
          <w:sz w:val="24"/>
          <w:szCs w:val="24"/>
        </w:rPr>
        <w:t xml:space="preserve">A descrição estática ganha sentido quando se observa a evolução ao longo dos sete dias. A Figura 3 apresenta a trajetória de cada dimensão em painéis separados, o que evita a sobreposição de linhas e destaca os pontos de inflexão, isto é, os máximos e mínimos locais em que a tendência muda de direção.</w:t>
      </w:r>
    </w:p>
    <w:p>
      <w:pPr>
        <w:keepNext/>
        <w:spacing w:after="40" w:before="160" w:line="240"/>
        <w:jc w:val="center"/>
      </w:pPr>
      <w:r>
        <w:rPr>
          <w:rFonts w:ascii="Times New Roman" w:cs="Times New Roman" w:eastAsia="Times New Roman" w:hAnsi="Times New Roman"/>
          <w:b/>
          <w:bCs/>
          <w:color w:val="000000"/>
          <w:sz w:val="20"/>
          <w:szCs w:val="20"/>
        </w:rPr>
        <w:t xml:space="preserve">Figura 3</w:t>
      </w:r>
      <w:r>
        <w:rPr>
          <w:rFonts w:ascii="Times New Roman" w:cs="Times New Roman" w:eastAsia="Times New Roman" w:hAnsi="Times New Roman"/>
          <w:color w:val="000000"/>
          <w:sz w:val="20"/>
          <w:szCs w:val="20"/>
        </w:rPr>
        <w:t xml:space="preserve"> – Trajetória diária das dimensões do humor, com pontos de inflexão assinalados</w:t>
      </w:r>
    </w:p>
    <w:p>
      <w:pPr>
        <w:spacing w:after="0" w:before="4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6250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vigor decresce de modo quase monotônico, enquanto a fadiga percorre o caminho inverso. A perturbação total do humor descreve um padrão em serrote de leitura eloquente: eleva-se nos dias de HIIT, recua nos dias de jogo e dispara no encerramento da semana. As dimensões negativas oscilam em faixa estreita, com repiques discretos nos dias de maior demanda. A Figura 4 estende a mesma lógica à sonolência e ao estresse, que sobem levemente nos dias de carga sem romper a estabilidade geral.</w:t>
      </w:r>
    </w:p>
    <w:p>
      <w:pPr>
        <w:keepNext/>
        <w:spacing w:after="40" w:before="160" w:line="240"/>
        <w:jc w:val="center"/>
      </w:pPr>
      <w:r>
        <w:rPr>
          <w:rFonts w:ascii="Times New Roman" w:cs="Times New Roman" w:eastAsia="Times New Roman" w:hAnsi="Times New Roman"/>
          <w:b/>
          <w:bCs/>
          <w:color w:val="000000"/>
          <w:sz w:val="20"/>
          <w:szCs w:val="20"/>
        </w:rPr>
        <w:t xml:space="preserve">Figura 4</w:t>
      </w:r>
      <w:r>
        <w:rPr>
          <w:rFonts w:ascii="Times New Roman" w:cs="Times New Roman" w:eastAsia="Times New Roman" w:hAnsi="Times New Roman"/>
          <w:color w:val="000000"/>
          <w:sz w:val="20"/>
          <w:szCs w:val="20"/>
        </w:rPr>
        <w:t xml:space="preserve"> – Trajetória diária da sonolência (Epworth) e do estresse percebido (PSS)</w:t>
      </w:r>
    </w:p>
    <w:p>
      <w:pPr>
        <w:spacing w:after="0" w:before="40"/>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71725"/>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90" w:before="200" w:line="360" w:lineRule="auto"/>
      </w:pPr>
      <w:r>
        <w:rPr>
          <w:rFonts w:ascii="Times New Roman" w:cs="Times New Roman" w:eastAsia="Times New Roman" w:hAnsi="Times New Roman"/>
          <w:b/>
          <w:bCs/>
          <w:color w:val="000000"/>
          <w:sz w:val="24"/>
          <w:szCs w:val="24"/>
        </w:rPr>
        <w:t xml:space="preserve">3.6 Perfis de humor: assinatura, prevalência e indicadores</w:t>
      </w:r>
    </w:p>
    <w:p>
      <w:pPr>
        <w:spacing w:after="0" w:before="0" w:line="360" w:lineRule="auto"/>
        <w:ind w:firstLine="709"/>
        <w:jc w:val="both"/>
      </w:pPr>
      <w:r>
        <w:rPr>
          <w:rFonts w:ascii="Times New Roman" w:cs="Times New Roman" w:eastAsia="Times New Roman" w:hAnsi="Times New Roman"/>
          <w:color w:val="000000"/>
          <w:sz w:val="24"/>
          <w:szCs w:val="24"/>
        </w:rPr>
        <w:t xml:space="preserve">Para além das dimensões isoladas, o humor pode ser lido pela forma do perfil, que combina as seis subescalas em um padrão único. A Figura 5 apresenta a assinatura dos seis perfis em escores T, com a faixa normal situada entre 40 e 60. O iceberg exibe o vigor elevado sobre negativas rebaixadas; a superfície mantém o padrão achatado; o submerso reúne todas as dimensões abaixo da média; a barbatana de tubarão isola um pico de fadiga; o iceberg invertido e o everest invertido espelham o perfil saudável e sinalizam pior estado psicológico.</w:t>
      </w:r>
    </w:p>
    <w:p>
      <w:pPr>
        <w:keepNext/>
        <w:spacing w:after="40" w:before="160" w:line="240"/>
        <w:jc w:val="center"/>
      </w:pPr>
      <w:r>
        <w:rPr>
          <w:rFonts w:ascii="Times New Roman" w:cs="Times New Roman" w:eastAsia="Times New Roman" w:hAnsi="Times New Roman"/>
          <w:b/>
          <w:bCs/>
          <w:color w:val="000000"/>
          <w:sz w:val="20"/>
          <w:szCs w:val="20"/>
        </w:rPr>
        <w:t xml:space="preserve">Figura 5</w:t>
      </w:r>
      <w:r>
        <w:rPr>
          <w:rFonts w:ascii="Times New Roman" w:cs="Times New Roman" w:eastAsia="Times New Roman" w:hAnsi="Times New Roman"/>
          <w:color w:val="000000"/>
          <w:sz w:val="20"/>
          <w:szCs w:val="20"/>
        </w:rPr>
        <w:t xml:space="preserve"> – Assinatura dos seis perfis de humor em escores T (T = 50 + 10z)</w:t>
      </w:r>
    </w:p>
    <w:p>
      <w:pPr>
        <w:spacing w:after="0" w:before="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spacing w:after="0" w:before="0" w:line="360" w:lineRule="auto"/>
        <w:ind w:firstLine="709"/>
        <w:jc w:val="both"/>
      </w:pPr>
      <w:r>
        <w:rPr>
          <w:rFonts w:ascii="Times New Roman" w:cs="Times New Roman" w:eastAsia="Times New Roman" w:hAnsi="Times New Roman"/>
          <w:color w:val="000000"/>
          <w:sz w:val="24"/>
          <w:szCs w:val="24"/>
        </w:rPr>
        <w:t xml:space="preserve">A Tabela 7 quantifica cada perfil por meio de indicadores-chave: a prevalência no conjunto das respostas, o número de atletas que assumiram o perfil ao menos uma vez, o índice-iceberg, o vigor médio, a fadiga média e a perturbação total do humor. Esses indicadores permitem classificar os atletas e comparar os perfis segundo o seu significado clínico.</w:t>
      </w:r>
    </w:p>
    <w:p>
      <w:pPr>
        <w:keepNext/>
        <w:spacing w:after="40" w:before="160" w:line="240"/>
        <w:jc w:val="left"/>
      </w:pPr>
      <w:r>
        <w:rPr>
          <w:rFonts w:ascii="Times New Roman" w:cs="Times New Roman" w:eastAsia="Times New Roman" w:hAnsi="Times New Roman"/>
          <w:b/>
          <w:bCs/>
          <w:color w:val="000000"/>
          <w:sz w:val="20"/>
          <w:szCs w:val="20"/>
        </w:rPr>
        <w:t xml:space="preserve">Tabela 7</w:t>
      </w:r>
      <w:r>
        <w:rPr>
          <w:rFonts w:ascii="Times New Roman" w:cs="Times New Roman" w:eastAsia="Times New Roman" w:hAnsi="Times New Roman"/>
          <w:color w:val="000000"/>
          <w:sz w:val="20"/>
          <w:szCs w:val="20"/>
        </w:rPr>
        <w:t xml:space="preserve"> – Indicadores descritivos dos seis perfis de humor</w:t>
      </w:r>
    </w:p>
    <w:tbl>
      <w:tblPr>
        <w:tblW w:type="dxa" w:w="9505"/>
        <w:tblBorders>
          <w:top w:val="single" w:color="000000" w:sz="6"/>
          <w:left w:val="none"/>
          <w:bottom w:val="single" w:color="000000" w:sz="6"/>
          <w:right w:val="none"/>
          <w:insideH w:val="none"/>
          <w:insideV w:val="none"/>
        </w:tblBorders>
      </w:tblPr>
      <w:tblGrid>
        <w:gridCol w:w="2350"/>
        <w:gridCol w:w="900"/>
        <w:gridCol w:w="850"/>
        <w:gridCol w:w="1000"/>
        <w:gridCol w:w="1500"/>
        <w:gridCol w:w="800"/>
        <w:gridCol w:w="900"/>
        <w:gridCol w:w="1205"/>
      </w:tblGrid>
      <w:tr>
        <w:trPr>
          <w:tblHeader/>
        </w:trPr>
        <w:tc>
          <w:tcPr>
            <w:tcW w:type="dxa" w:w="23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Perfil</w:t>
            </w:r>
          </w:p>
        </w:tc>
        <w:tc>
          <w:tcPr>
            <w:tcW w:type="dxa" w:w="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Prev.</w:t>
            </w:r>
          </w:p>
        </w:tc>
        <w:tc>
          <w:tcPr>
            <w:tcW w:type="dxa" w:w="8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N obs.</w:t>
            </w:r>
          </w:p>
        </w:tc>
        <w:tc>
          <w:tcPr>
            <w:tcW w:type="dxa" w:w="1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Atletas</w:t>
            </w:r>
          </w:p>
        </w:tc>
        <w:tc>
          <w:tcPr>
            <w:tcW w:type="dxa" w:w="15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Índice-iceberg</w:t>
            </w:r>
          </w:p>
        </w:tc>
        <w:tc>
          <w:tcPr>
            <w:tcW w:type="dxa" w:w="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Vigor</w:t>
            </w:r>
          </w:p>
        </w:tc>
        <w:tc>
          <w:tcPr>
            <w:tcW w:type="dxa" w:w="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Fadiga</w:t>
            </w:r>
          </w:p>
        </w:tc>
        <w:tc>
          <w:tcPr>
            <w:tcW w:type="dxa" w:w="12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PTH</w:t>
            </w:r>
          </w:p>
        </w:tc>
      </w:tr>
      <w:tr>
        <w:tc>
          <w:tcPr>
            <w:tcW w:type="dxa" w:w="235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Iceberg</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31,6%</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144</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21/27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+7,72</w:t>
            </w:r>
          </w:p>
        </w:tc>
        <w:tc>
          <w:tcPr>
            <w:tcW w:type="dxa" w:w="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8,6</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3,2</w:t>
            </w:r>
          </w:p>
        </w:tc>
        <w:tc>
          <w:tcPr>
            <w:tcW w:type="dxa" w:w="12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-4,0</w:t>
            </w:r>
          </w:p>
        </w:tc>
      </w:tr>
      <w:tr>
        <w:tc>
          <w:tcPr>
            <w:tcW w:type="dxa" w:w="235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Superfície</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31,1%</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142</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22/27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+3,83</w:t>
            </w:r>
          </w:p>
        </w:tc>
        <w:tc>
          <w:tcPr>
            <w:tcW w:type="dxa" w:w="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5,6</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5,4</w:t>
            </w:r>
          </w:p>
        </w:tc>
        <w:tc>
          <w:tcPr>
            <w:tcW w:type="dxa" w:w="12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+3,2</w:t>
            </w:r>
          </w:p>
        </w:tc>
      </w:tr>
      <w:tr>
        <w:tc>
          <w:tcPr>
            <w:tcW w:type="dxa" w:w="235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Submerso</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10,3%</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47</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12/27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+1,29</w:t>
            </w:r>
          </w:p>
        </w:tc>
        <w:tc>
          <w:tcPr>
            <w:tcW w:type="dxa" w:w="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2,0</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3,0</w:t>
            </w:r>
          </w:p>
        </w:tc>
        <w:tc>
          <w:tcPr>
            <w:tcW w:type="dxa" w:w="12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+1,7</w:t>
            </w:r>
          </w:p>
        </w:tc>
      </w:tr>
      <w:tr>
        <w:tc>
          <w:tcPr>
            <w:tcW w:type="dxa" w:w="235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Everest invertido</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9,2%</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42</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11/27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-1,94</w:t>
            </w:r>
          </w:p>
        </w:tc>
        <w:tc>
          <w:tcPr>
            <w:tcW w:type="dxa" w:w="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3,8</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10,6</w:t>
            </w:r>
          </w:p>
        </w:tc>
        <w:tc>
          <w:tcPr>
            <w:tcW w:type="dxa" w:w="12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+24,7</w:t>
            </w:r>
          </w:p>
        </w:tc>
      </w:tr>
      <w:tr>
        <w:tc>
          <w:tcPr>
            <w:tcW w:type="dxa" w:w="235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Barbatana de tubarão</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9,2%</w:t>
            </w:r>
          </w:p>
        </w:tc>
        <w:tc>
          <w:tcPr>
            <w:tcW w:type="dxa" w:w="8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42</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11/27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+1,43</w:t>
            </w:r>
          </w:p>
        </w:tc>
        <w:tc>
          <w:tcPr>
            <w:tcW w:type="dxa" w:w="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4,6</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11,4</w:t>
            </w:r>
          </w:p>
        </w:tc>
        <w:tc>
          <w:tcPr>
            <w:tcW w:type="dxa" w:w="12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+11,2</w:t>
            </w:r>
          </w:p>
        </w:tc>
      </w:tr>
      <w:tr>
        <w:tc>
          <w:tcPr>
            <w:tcW w:type="dxa" w:w="235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Iceberg invertido</w:t>
            </w:r>
          </w:p>
        </w:tc>
        <w:tc>
          <w:tcPr>
            <w:tcW w:type="dxa" w:w="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8,6%</w:t>
            </w:r>
          </w:p>
        </w:tc>
        <w:tc>
          <w:tcPr>
            <w:tcW w:type="dxa" w:w="8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39</w:t>
            </w:r>
          </w:p>
        </w:tc>
        <w:tc>
          <w:tcPr>
            <w:tcW w:type="dxa" w:w="1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15/27</w:t>
            </w:r>
          </w:p>
        </w:tc>
        <w:tc>
          <w:tcPr>
            <w:tcW w:type="dxa" w:w="15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-0,46</w:t>
            </w:r>
          </w:p>
        </w:tc>
        <w:tc>
          <w:tcPr>
            <w:tcW w:type="dxa" w:w="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2,9</w:t>
            </w:r>
          </w:p>
        </w:tc>
        <w:tc>
          <w:tcPr>
            <w:tcW w:type="dxa" w:w="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7,3</w:t>
            </w:r>
          </w:p>
        </w:tc>
        <w:tc>
          <w:tcPr>
            <w:tcW w:type="dxa" w:w="12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+13,8</w:t>
            </w:r>
          </w:p>
        </w:tc>
      </w:tr>
    </w:tbl>
    <w:p>
      <w:pPr>
        <w:spacing w:after="180" w:before="40" w:line="240"/>
        <w:jc w:val="left"/>
      </w:pPr>
      <w:r>
        <w:rPr>
          <w:rFonts w:ascii="Times New Roman" w:cs="Times New Roman" w:eastAsia="Times New Roman" w:hAnsi="Times New Roman"/>
          <w:color w:val="3f3f3f"/>
          <w:sz w:val="20"/>
          <w:szCs w:val="20"/>
        </w:rPr>
        <w:t xml:space="preserve">Nota: índice-iceberg = vigor padronizado − média das negativas padronizadas; PTH = perturbação total do humor. Base de respostas (atleta-dia).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grupo revela-se dominado por perfis favoráveis, uma vez que o iceberg e a superfície respondem, somados, por cerca de dois terços das observações. Ainda assim, os perfis de risco e de sobrecarga comparecem com frequência que justifica vigilância. O índice-iceberg ordena com clareza os perfis do mais saudável ao mais desfavorável, o que confirma a sua utilidade como métrica-resumo para a triagem individual.</w:t>
      </w:r>
    </w:p>
    <w:p>
      <w:pPr>
        <w:spacing w:after="0" w:before="0" w:line="360" w:lineRule="auto"/>
        <w:ind w:firstLine="709"/>
        <w:jc w:val="both"/>
      </w:pPr>
      <w:r>
        <w:rPr>
          <w:rFonts w:ascii="Times New Roman" w:cs="Times New Roman" w:eastAsia="Times New Roman" w:hAnsi="Times New Roman"/>
          <w:color w:val="000000"/>
          <w:sz w:val="24"/>
          <w:szCs w:val="24"/>
        </w:rPr>
        <w:t xml:space="preserve">A distribuição dos perfis ao longo dos dias revela a conexão com o tipo de estímulo. A Tabela 8 apresenta a prevalência diária de cada perfil, e a Figura 6 destaca os perfis mais reativos. A barbatana de tubarão cresce ao longo da semana e atinge o pico no sétimo dia, coerente com a sobrecarga física acumulada. O submerso comparece com mais força nos dias de jogo, padrão compatível com o recolhimento afetivo que segue o desgaste competitivo.</w:t>
      </w:r>
    </w:p>
    <w:p>
      <w:pPr>
        <w:keepNext/>
        <w:spacing w:after="40" w:before="160" w:line="240"/>
        <w:jc w:val="left"/>
      </w:pPr>
      <w:r>
        <w:rPr>
          <w:rFonts w:ascii="Times New Roman" w:cs="Times New Roman" w:eastAsia="Times New Roman" w:hAnsi="Times New Roman"/>
          <w:b/>
          <w:bCs/>
          <w:color w:val="000000"/>
          <w:sz w:val="20"/>
          <w:szCs w:val="20"/>
        </w:rPr>
        <w:t xml:space="preserve">Tabela 8</w:t>
      </w:r>
      <w:r>
        <w:rPr>
          <w:rFonts w:ascii="Times New Roman" w:cs="Times New Roman" w:eastAsia="Times New Roman" w:hAnsi="Times New Roman"/>
          <w:color w:val="000000"/>
          <w:sz w:val="20"/>
          <w:szCs w:val="20"/>
        </w:rPr>
        <w:t xml:space="preserve"> – Prevalência (%) de cada perfil de humor por dia do microciclo</w:t>
      </w:r>
    </w:p>
    <w:tbl>
      <w:tblPr>
        <w:tblW w:type="dxa" w:w="9505"/>
        <w:tblBorders>
          <w:top w:val="single" w:color="000000" w:sz="6"/>
          <w:left w:val="none"/>
          <w:bottom w:val="single" w:color="000000" w:sz="6"/>
          <w:right w:val="none"/>
          <w:insideH w:val="none"/>
          <w:insideV w:val="none"/>
        </w:tblBorders>
      </w:tblPr>
      <w:tblGrid>
        <w:gridCol w:w="3100"/>
        <w:gridCol w:w="915"/>
        <w:gridCol w:w="915"/>
        <w:gridCol w:w="915"/>
        <w:gridCol w:w="915"/>
        <w:gridCol w:w="915"/>
        <w:gridCol w:w="915"/>
        <w:gridCol w:w="915"/>
      </w:tblGrid>
      <w:tr>
        <w:trPr>
          <w:tblHeader/>
        </w:trPr>
        <w:tc>
          <w:tcPr>
            <w:tcW w:type="dxa" w:w="31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Perfil</w:t>
            </w:r>
          </w:p>
        </w:tc>
        <w:tc>
          <w:tcPr>
            <w:tcW w:type="dxa" w:w="91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D1</w:t>
            </w:r>
          </w:p>
        </w:tc>
        <w:tc>
          <w:tcPr>
            <w:tcW w:type="dxa" w:w="91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D2</w:t>
            </w:r>
          </w:p>
        </w:tc>
        <w:tc>
          <w:tcPr>
            <w:tcW w:type="dxa" w:w="91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D3</w:t>
            </w:r>
          </w:p>
        </w:tc>
        <w:tc>
          <w:tcPr>
            <w:tcW w:type="dxa" w:w="91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D4</w:t>
            </w:r>
          </w:p>
        </w:tc>
        <w:tc>
          <w:tcPr>
            <w:tcW w:type="dxa" w:w="91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D5</w:t>
            </w:r>
          </w:p>
        </w:tc>
        <w:tc>
          <w:tcPr>
            <w:tcW w:type="dxa" w:w="91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D6</w:t>
            </w:r>
          </w:p>
        </w:tc>
        <w:tc>
          <w:tcPr>
            <w:tcW w:type="dxa" w:w="91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D7</w:t>
            </w:r>
          </w:p>
        </w:tc>
      </w:tr>
      <w:tr>
        <w:tc>
          <w:tcPr>
            <w:tcW w:type="dxa" w:w="3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Iceberg</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41</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29</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32</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30</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39</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32</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17</w:t>
            </w:r>
          </w:p>
        </w:tc>
      </w:tr>
      <w:tr>
        <w:tc>
          <w:tcPr>
            <w:tcW w:type="dxa" w:w="3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Superfície</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26</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36</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27</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35</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27</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35</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28</w:t>
            </w:r>
          </w:p>
        </w:tc>
      </w:tr>
      <w:tr>
        <w:tc>
          <w:tcPr>
            <w:tcW w:type="dxa" w:w="3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Submerso</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w:t>
            </w:r>
          </w:p>
        </w:tc>
      </w:tr>
      <w:tr>
        <w:tc>
          <w:tcPr>
            <w:tcW w:type="dxa" w:w="3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Barbatana de tubarão</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28</w:t>
            </w:r>
          </w:p>
        </w:tc>
      </w:tr>
      <w:tr>
        <w:tc>
          <w:tcPr>
            <w:tcW w:type="dxa" w:w="31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Everest invertido</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w:t>
            </w:r>
          </w:p>
        </w:tc>
        <w:tc>
          <w:tcPr>
            <w:tcW w:type="dxa" w:w="91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w:t>
            </w:r>
          </w:p>
        </w:tc>
      </w:tr>
      <w:tr>
        <w:tc>
          <w:tcPr>
            <w:tcW w:type="dxa" w:w="31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Iceberg invertido</w:t>
            </w:r>
          </w:p>
        </w:tc>
        <w:tc>
          <w:tcPr>
            <w:tcW w:type="dxa" w:w="91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w:t>
            </w:r>
          </w:p>
        </w:tc>
        <w:tc>
          <w:tcPr>
            <w:tcW w:type="dxa" w:w="91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w:t>
            </w:r>
          </w:p>
        </w:tc>
        <w:tc>
          <w:tcPr>
            <w:tcW w:type="dxa" w:w="91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w:t>
            </w:r>
          </w:p>
        </w:tc>
        <w:tc>
          <w:tcPr>
            <w:tcW w:type="dxa" w:w="91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w:t>
            </w:r>
          </w:p>
        </w:tc>
        <w:tc>
          <w:tcPr>
            <w:tcW w:type="dxa" w:w="91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w:t>
            </w:r>
          </w:p>
        </w:tc>
        <w:tc>
          <w:tcPr>
            <w:tcW w:type="dxa" w:w="91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w:t>
            </w:r>
          </w:p>
        </w:tc>
        <w:tc>
          <w:tcPr>
            <w:tcW w:type="dxa" w:w="91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w:t>
            </w:r>
          </w:p>
        </w:tc>
      </w:tr>
    </w:tbl>
    <w:p>
      <w:pPr>
        <w:spacing w:after="180" w:before="40" w:line="240"/>
        <w:jc w:val="left"/>
      </w:pPr>
      <w:r>
        <w:rPr>
          <w:rFonts w:ascii="Times New Roman" w:cs="Times New Roman" w:eastAsia="Times New Roman" w:hAnsi="Times New Roman"/>
          <w:color w:val="3f3f3f"/>
          <w:sz w:val="20"/>
          <w:szCs w:val="20"/>
        </w:rPr>
        <w:t xml:space="preserve">Nota: D2, D4 e D7 são dias de HIIT; D3 e D5, de jogo amistoso. Fonte: Dados da pesquisa (2026).</w:t>
      </w:r>
    </w:p>
    <w:p>
      <w:pPr>
        <w:keepNext/>
        <w:spacing w:after="40" w:before="160" w:line="240"/>
        <w:jc w:val="center"/>
      </w:pPr>
      <w:r>
        <w:rPr>
          <w:rFonts w:ascii="Times New Roman" w:cs="Times New Roman" w:eastAsia="Times New Roman" w:hAnsi="Times New Roman"/>
          <w:b/>
          <w:bCs/>
          <w:color w:val="000000"/>
          <w:sz w:val="20"/>
          <w:szCs w:val="20"/>
        </w:rPr>
        <w:t xml:space="preserve">Figura 6</w:t>
      </w:r>
      <w:r>
        <w:rPr>
          <w:rFonts w:ascii="Times New Roman" w:cs="Times New Roman" w:eastAsia="Times New Roman" w:hAnsi="Times New Roman"/>
          <w:color w:val="000000"/>
          <w:sz w:val="20"/>
          <w:szCs w:val="20"/>
        </w:rPr>
        <w:t xml:space="preserve"> – Prevalência diária dos perfis reativos ao estímulo, com pontos de inflexão</w:t>
      </w:r>
    </w:p>
    <w:p>
      <w:pPr>
        <w:spacing w:after="0" w:before="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índice-iceberg do grupo, apresentado na Figura 7 com o respectivo intervalo de confiança, sintetiza a deterioração afetiva ao longo da semana. O indicador parte de valor elevado no primeiro dia, oscila conforme o estímulo e recua no encerramento, o que traduz o efeito acumulado da carga sobre o equilíbrio entre vigor e afeto negativo.</w:t>
      </w:r>
    </w:p>
    <w:p>
      <w:pPr>
        <w:keepNext/>
        <w:spacing w:after="40" w:before="160" w:line="240"/>
        <w:jc w:val="center"/>
      </w:pPr>
      <w:r>
        <w:rPr>
          <w:rFonts w:ascii="Times New Roman" w:cs="Times New Roman" w:eastAsia="Times New Roman" w:hAnsi="Times New Roman"/>
          <w:b/>
          <w:bCs/>
          <w:color w:val="000000"/>
          <w:sz w:val="20"/>
          <w:szCs w:val="20"/>
        </w:rPr>
        <w:t xml:space="preserve">Figura 7</w:t>
      </w:r>
      <w:r>
        <w:rPr>
          <w:rFonts w:ascii="Times New Roman" w:cs="Times New Roman" w:eastAsia="Times New Roman" w:hAnsi="Times New Roman"/>
          <w:color w:val="000000"/>
          <w:sz w:val="20"/>
          <w:szCs w:val="20"/>
        </w:rPr>
        <w:t xml:space="preserve"> – Índice-iceberg do grupo por dia (vigor − média das negativas), com IC 95%</w:t>
      </w:r>
    </w:p>
    <w:p>
      <w:pPr>
        <w:spacing w:after="0" w:before="4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7650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90" w:before="200" w:line="360" w:lineRule="auto"/>
      </w:pPr>
      <w:r>
        <w:rPr>
          <w:rFonts w:ascii="Times New Roman" w:cs="Times New Roman" w:eastAsia="Times New Roman" w:hAnsi="Times New Roman"/>
          <w:b/>
          <w:bCs/>
          <w:color w:val="000000"/>
          <w:sz w:val="24"/>
          <w:szCs w:val="24"/>
        </w:rPr>
        <w:t xml:space="preserve">3.7 Resposta aguda pré→pós por tipo de dia</w:t>
      </w:r>
    </w:p>
    <w:p>
      <w:pPr>
        <w:spacing w:after="0" w:before="0" w:line="360" w:lineRule="auto"/>
        <w:ind w:firstLine="709"/>
        <w:jc w:val="both"/>
      </w:pPr>
      <w:r>
        <w:rPr>
          <w:rFonts w:ascii="Times New Roman" w:cs="Times New Roman" w:eastAsia="Times New Roman" w:hAnsi="Times New Roman"/>
          <w:color w:val="000000"/>
          <w:sz w:val="24"/>
          <w:szCs w:val="24"/>
        </w:rPr>
        <w:t xml:space="preserve">A resposta aguda mensura a alteração do estado do atleta entre o início e o fim do dia. A Tabela 9 apresenta o efeito pré para pós de cada dimensão no conjunto da amostra, com o valor de p, o tamanho de efeito e a magnitude correspondente.</w:t>
      </w:r>
    </w:p>
    <w:p>
      <w:pPr>
        <w:keepNext/>
        <w:spacing w:after="40" w:before="160" w:line="240"/>
        <w:jc w:val="left"/>
      </w:pPr>
      <w:r>
        <w:rPr>
          <w:rFonts w:ascii="Times New Roman" w:cs="Times New Roman" w:eastAsia="Times New Roman" w:hAnsi="Times New Roman"/>
          <w:b/>
          <w:bCs/>
          <w:color w:val="000000"/>
          <w:sz w:val="20"/>
          <w:szCs w:val="20"/>
        </w:rPr>
        <w:t xml:space="preserve">Tabela 9</w:t>
      </w:r>
      <w:r>
        <w:rPr>
          <w:rFonts w:ascii="Times New Roman" w:cs="Times New Roman" w:eastAsia="Times New Roman" w:hAnsi="Times New Roman"/>
          <w:color w:val="000000"/>
          <w:sz w:val="20"/>
          <w:szCs w:val="20"/>
        </w:rPr>
        <w:t xml:space="preserve"> – Efeito agudo intra-dia (pré→pós) das dimensões do humor</w:t>
      </w:r>
    </w:p>
    <w:tbl>
      <w:tblPr>
        <w:tblW w:type="dxa" w:w="9505"/>
        <w:tblBorders>
          <w:top w:val="single" w:color="000000" w:sz="6"/>
          <w:left w:val="none"/>
          <w:bottom w:val="single" w:color="000000" w:sz="6"/>
          <w:right w:val="none"/>
          <w:insideH w:val="none"/>
          <w:insideV w:val="none"/>
        </w:tblBorders>
      </w:tblPr>
      <w:tblGrid>
        <w:gridCol w:w="2000"/>
        <w:gridCol w:w="1100"/>
        <w:gridCol w:w="1100"/>
        <w:gridCol w:w="1200"/>
        <w:gridCol w:w="1700"/>
        <w:gridCol w:w="900"/>
        <w:gridCol w:w="1505"/>
      </w:tblGrid>
      <w:tr>
        <w:trPr>
          <w:tblHeader/>
        </w:trPr>
        <w:tc>
          <w:tcPr>
            <w:tcW w:type="dxa" w:w="2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1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Pré</w:t>
            </w:r>
          </w:p>
        </w:tc>
        <w:tc>
          <w:tcPr>
            <w:tcW w:type="dxa" w:w="11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Pós</w:t>
            </w:r>
          </w:p>
        </w:tc>
        <w:tc>
          <w:tcPr>
            <w:tcW w:type="dxa" w:w="1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Variação</w:t>
            </w:r>
          </w:p>
        </w:tc>
        <w:tc>
          <w:tcPr>
            <w:tcW w:type="dxa" w:w="17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 (Wilcoxon)</w:t>
            </w:r>
          </w:p>
        </w:tc>
        <w:tc>
          <w:tcPr>
            <w:tcW w:type="dxa" w:w="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w:t>
            </w:r>
          </w:p>
        </w:tc>
        <w:tc>
          <w:tcPr>
            <w:tcW w:type="dxa" w:w="15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Magnitude</w:t>
            </w:r>
          </w:p>
        </w:tc>
      </w:tr>
      <w:tr>
        <w:tc>
          <w:tcPr>
            <w:tcW w:type="dxa" w:w="20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6,22</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5,38</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w:t>
            </w:r>
          </w:p>
        </w:tc>
        <w:tc>
          <w:tcPr>
            <w:tcW w:type="dxa" w:w="1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0,010</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-0,56</w:t>
            </w:r>
          </w:p>
        </w:tc>
        <w:tc>
          <w:tcPr>
            <w:tcW w:type="dxa" w:w="15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médio</w:t>
            </w:r>
          </w:p>
        </w:tc>
      </w:tr>
      <w:tr>
        <w:tc>
          <w:tcPr>
            <w:tcW w:type="dxa" w:w="20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4,50</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5,81</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+29%</w:t>
            </w:r>
          </w:p>
        </w:tc>
        <w:tc>
          <w:tcPr>
            <w:tcW w:type="dxa" w:w="1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0,003</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+0,63</w:t>
            </w:r>
          </w:p>
        </w:tc>
        <w:tc>
          <w:tcPr>
            <w:tcW w:type="dxa" w:w="15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médio</w:t>
            </w:r>
          </w:p>
        </w:tc>
      </w:tr>
      <w:tr>
        <w:tc>
          <w:tcPr>
            <w:tcW w:type="dxa" w:w="20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1,44</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1,64</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+14%</w:t>
            </w:r>
          </w:p>
        </w:tc>
        <w:tc>
          <w:tcPr>
            <w:tcW w:type="dxa" w:w="1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0,061</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+0,40</w:t>
            </w:r>
          </w:p>
        </w:tc>
        <w:tc>
          <w:tcPr>
            <w:tcW w:type="dxa" w:w="15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r>
      <w:tr>
        <w:tc>
          <w:tcPr>
            <w:tcW w:type="dxa" w:w="20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0,96</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1,24</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+30%</w:t>
            </w:r>
          </w:p>
        </w:tc>
        <w:tc>
          <w:tcPr>
            <w:tcW w:type="dxa" w:w="1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0,116</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+0,32</w:t>
            </w:r>
          </w:p>
        </w:tc>
        <w:tc>
          <w:tcPr>
            <w:tcW w:type="dxa" w:w="15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r>
      <w:tr>
        <w:tc>
          <w:tcPr>
            <w:tcW w:type="dxa" w:w="20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1,38</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1,66</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+20%</w:t>
            </w:r>
          </w:p>
        </w:tc>
        <w:tc>
          <w:tcPr>
            <w:tcW w:type="dxa" w:w="1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0,353</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+0,23</w:t>
            </w:r>
          </w:p>
        </w:tc>
        <w:tc>
          <w:tcPr>
            <w:tcW w:type="dxa" w:w="15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r>
      <w:tr>
        <w:tc>
          <w:tcPr>
            <w:tcW w:type="dxa" w:w="20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0,51</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0,48</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w:t>
            </w:r>
          </w:p>
        </w:tc>
        <w:tc>
          <w:tcPr>
            <w:tcW w:type="dxa" w:w="17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0,604</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-0,07</w:t>
            </w:r>
          </w:p>
        </w:tc>
        <w:tc>
          <w:tcPr>
            <w:tcW w:type="dxa" w:w="15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trivial</w:t>
            </w:r>
          </w:p>
        </w:tc>
      </w:tr>
      <w:tr>
        <w:tc>
          <w:tcPr>
            <w:tcW w:type="dxa" w:w="20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1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2,57</w:t>
            </w:r>
          </w:p>
        </w:tc>
        <w:tc>
          <w:tcPr>
            <w:tcW w:type="dxa" w:w="11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5,46</w:t>
            </w:r>
          </w:p>
        </w:tc>
        <w:tc>
          <w:tcPr>
            <w:tcW w:type="dxa" w:w="1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+112%</w:t>
            </w:r>
          </w:p>
        </w:tc>
        <w:tc>
          <w:tcPr>
            <w:tcW w:type="dxa" w:w="17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0,007</w:t>
            </w:r>
          </w:p>
        </w:tc>
        <w:tc>
          <w:tcPr>
            <w:tcW w:type="dxa" w:w="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+0,62</w:t>
            </w:r>
          </w:p>
        </w:tc>
        <w:tc>
          <w:tcPr>
            <w:tcW w:type="dxa" w:w="15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médio</w:t>
            </w:r>
          </w:p>
        </w:tc>
      </w:tr>
    </w:tbl>
    <w:p>
      <w:pPr>
        <w:spacing w:after="180" w:before="40" w:line="240"/>
        <w:jc w:val="left"/>
      </w:pPr>
      <w:r>
        <w:rPr>
          <w:rFonts w:ascii="Times New Roman" w:cs="Times New Roman" w:eastAsia="Times New Roman" w:hAnsi="Times New Roman"/>
          <w:color w:val="3f3f3f"/>
          <w:sz w:val="20"/>
          <w:szCs w:val="20"/>
        </w:rPr>
        <w:t xml:space="preserve">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panorama confirma o custo agudo do esforço. A fadiga e a fadiga física sobem de maneira consistente ao longo da jornada, enquanto o vigor recua, e a perturbação total do humor acompanha essa piora global. As dimensões negativas ensaiam altas de menor porte. A Figura 8 separa esse efeito por tipo de estímulo e revela um contraste esclarecedor: no jogo, a assinatura é quase pura fadiga; no HIIT, ao custo físico soma-se um componente afetivo, com repiques de tensão, de perturbação do humor e das negativas.</w:t>
      </w:r>
    </w:p>
    <w:p>
      <w:pPr>
        <w:keepNext/>
        <w:spacing w:after="40" w:before="160" w:line="240"/>
        <w:jc w:val="center"/>
      </w:pPr>
      <w:r>
        <w:rPr>
          <w:rFonts w:ascii="Times New Roman" w:cs="Times New Roman" w:eastAsia="Times New Roman" w:hAnsi="Times New Roman"/>
          <w:b/>
          <w:bCs/>
          <w:color w:val="000000"/>
          <w:sz w:val="20"/>
          <w:szCs w:val="20"/>
        </w:rPr>
        <w:t xml:space="preserve">Figura 8</w:t>
      </w:r>
      <w:r>
        <w:rPr>
          <w:rFonts w:ascii="Times New Roman" w:cs="Times New Roman" w:eastAsia="Times New Roman" w:hAnsi="Times New Roman"/>
          <w:color w:val="000000"/>
          <w:sz w:val="20"/>
          <w:szCs w:val="20"/>
        </w:rPr>
        <w:t xml:space="preserve"> – Efeito agudo dz por dimensão no HIIT e no jogo amistoso</w:t>
      </w:r>
    </w:p>
    <w:p>
      <w:pPr>
        <w:spacing w:after="0" w:before="40"/>
        <w:jc w:val="center"/>
      </w:pPr>
      <w:r>
        <w:drawing>
          <wp:inline distT="0" distB="0" distL="0" distR="0">
            <wp:extent cx="5619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619375"/>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90" w:before="200" w:line="360" w:lineRule="auto"/>
      </w:pPr>
      <w:r>
        <w:rPr>
          <w:rFonts w:ascii="Times New Roman" w:cs="Times New Roman" w:eastAsia="Times New Roman" w:hAnsi="Times New Roman"/>
          <w:b/>
          <w:bCs/>
          <w:color w:val="000000"/>
          <w:sz w:val="24"/>
          <w:szCs w:val="24"/>
        </w:rPr>
        <w:t xml:space="preserve">3.8 Análises exploratórias: associações e correlações</w:t>
      </w:r>
    </w:p>
    <w:p>
      <w:pPr>
        <w:spacing w:after="0" w:before="0" w:line="360" w:lineRule="auto"/>
        <w:ind w:firstLine="709"/>
        <w:jc w:val="both"/>
      </w:pPr>
      <w:r>
        <w:rPr>
          <w:rFonts w:ascii="Times New Roman" w:cs="Times New Roman" w:eastAsia="Times New Roman" w:hAnsi="Times New Roman"/>
          <w:color w:val="000000"/>
          <w:sz w:val="24"/>
          <w:szCs w:val="24"/>
        </w:rPr>
        <w:t xml:space="preserve">A exploração das relações entre as medidas complementa a descrição. As correlações foram calculadas no nível do atleta, o que preserva a independência das observações. A Tabela 10 apresenta as associações mais fortes entre as próprias dimensões do humor, e a Tabela 11 estende a análise à sonolência e ao estresse.</w:t>
      </w:r>
    </w:p>
    <w:p>
      <w:pPr>
        <w:keepNext/>
        <w:spacing w:after="40" w:before="160" w:line="240"/>
        <w:jc w:val="left"/>
      </w:pPr>
      <w:r>
        <w:rPr>
          <w:rFonts w:ascii="Times New Roman" w:cs="Times New Roman" w:eastAsia="Times New Roman" w:hAnsi="Times New Roman"/>
          <w:b/>
          <w:bCs/>
          <w:color w:val="000000"/>
          <w:sz w:val="20"/>
          <w:szCs w:val="20"/>
        </w:rPr>
        <w:t xml:space="preserve">Tabela 10</w:t>
      </w:r>
      <w:r>
        <w:rPr>
          <w:rFonts w:ascii="Times New Roman" w:cs="Times New Roman" w:eastAsia="Times New Roman" w:hAnsi="Times New Roman"/>
          <w:color w:val="000000"/>
          <w:sz w:val="20"/>
          <w:szCs w:val="20"/>
        </w:rPr>
        <w:t xml:space="preserve"> – Correlações de Spearman entre dimensões do humor (nível do atleta)</w:t>
      </w:r>
    </w:p>
    <w:tbl>
      <w:tblPr>
        <w:tblW w:type="dxa" w:w="9505"/>
        <w:tblBorders>
          <w:top w:val="single" w:color="000000" w:sz="6"/>
          <w:left w:val="none"/>
          <w:bottom w:val="single" w:color="000000" w:sz="6"/>
          <w:right w:val="none"/>
          <w:insideH w:val="none"/>
          <w:insideV w:val="none"/>
        </w:tblBorders>
      </w:tblPr>
      <w:tblGrid>
        <w:gridCol w:w="4700"/>
        <w:gridCol w:w="2400"/>
        <w:gridCol w:w="2405"/>
      </w:tblGrid>
      <w:tr>
        <w:trPr>
          <w:tblHeader/>
        </w:trPr>
        <w:tc>
          <w:tcPr>
            <w:tcW w:type="dxa" w:w="47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Par de dimensões</w:t>
            </w:r>
          </w:p>
        </w:tc>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(rô)</w:t>
            </w:r>
          </w:p>
        </w:tc>
        <w:tc>
          <w:tcPr>
            <w:tcW w:type="dxa" w:w="24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 × raiva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0,55</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0,003</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 raiva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0,48</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0,011</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 depressão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0,45</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0,019</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 × confusão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0,42</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0,027</w:t>
            </w:r>
          </w:p>
        </w:tc>
      </w:tr>
      <w:tr>
        <w:tc>
          <w:tcPr>
            <w:tcW w:type="dxa" w:w="47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 × fadiga</w:t>
            </w:r>
          </w:p>
        </w:tc>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-0,38</w:t>
            </w:r>
          </w:p>
        </w:tc>
        <w:tc>
          <w:tcPr>
            <w:tcW w:type="dxa" w:w="24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0,050</w:t>
            </w:r>
          </w:p>
        </w:tc>
      </w:tr>
    </w:tbl>
    <w:p>
      <w:pPr>
        <w:spacing w:after="180" w:before="40" w:line="240"/>
        <w:jc w:val="left"/>
      </w:pPr>
      <w:r>
        <w:rPr>
          <w:rFonts w:ascii="Times New Roman" w:cs="Times New Roman" w:eastAsia="Times New Roman" w:hAnsi="Times New Roman"/>
          <w:color w:val="3f3f3f"/>
          <w:sz w:val="20"/>
          <w:szCs w:val="20"/>
        </w:rPr>
        <w:t xml:space="preserve">Fonte: Dados da pesquisa (2026).</w:t>
      </w:r>
    </w:p>
    <w:p>
      <w:pPr>
        <w:keepNext/>
        <w:spacing w:after="40" w:before="160" w:line="240"/>
        <w:jc w:val="left"/>
      </w:pPr>
      <w:r>
        <w:rPr>
          <w:rFonts w:ascii="Times New Roman" w:cs="Times New Roman" w:eastAsia="Times New Roman" w:hAnsi="Times New Roman"/>
          <w:b/>
          <w:bCs/>
          <w:color w:val="000000"/>
          <w:sz w:val="20"/>
          <w:szCs w:val="20"/>
        </w:rPr>
        <w:t xml:space="preserve">Tabela 11</w:t>
      </w:r>
      <w:r>
        <w:rPr>
          <w:rFonts w:ascii="Times New Roman" w:cs="Times New Roman" w:eastAsia="Times New Roman" w:hAnsi="Times New Roman"/>
          <w:color w:val="000000"/>
          <w:sz w:val="20"/>
          <w:szCs w:val="20"/>
        </w:rPr>
        <w:t xml:space="preserve"> – Correlações de Spearman entre sonolência, estresse e humor</w:t>
      </w:r>
    </w:p>
    <w:tbl>
      <w:tblPr>
        <w:tblW w:type="dxa" w:w="9505"/>
        <w:tblBorders>
          <w:top w:val="single" w:color="000000" w:sz="6"/>
          <w:left w:val="none"/>
          <w:bottom w:val="single" w:color="000000" w:sz="6"/>
          <w:right w:val="none"/>
          <w:insideH w:val="none"/>
          <w:insideV w:val="none"/>
        </w:tblBorders>
      </w:tblPr>
      <w:tblGrid>
        <w:gridCol w:w="4700"/>
        <w:gridCol w:w="2400"/>
        <w:gridCol w:w="2405"/>
      </w:tblGrid>
      <w:tr>
        <w:trPr>
          <w:tblHeader/>
        </w:trPr>
        <w:tc>
          <w:tcPr>
            <w:tcW w:type="dxa" w:w="47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Par (medida × humor)</w:t>
            </w:r>
          </w:p>
        </w:tc>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(rô)</w:t>
            </w:r>
          </w:p>
        </w:tc>
        <w:tc>
          <w:tcPr>
            <w:tcW w:type="dxa" w:w="24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Epworth × fadiga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0,18</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0,032</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Epworth × vigor</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-0,29</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Epworth × PTH</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0,26</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0,002</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PSS × fadiga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-0,02</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0,831</w:t>
            </w:r>
          </w:p>
        </w:tc>
      </w:tr>
      <w:tr>
        <w:tc>
          <w:tcPr>
            <w:tcW w:type="dxa" w:w="47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PSS × vigor</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0,07</w:t>
            </w:r>
          </w:p>
        </w:tc>
        <w:tc>
          <w:tcPr>
            <w:tcW w:type="dxa" w:w="24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0,416</w:t>
            </w:r>
          </w:p>
        </w:tc>
      </w:tr>
      <w:tr>
        <w:tc>
          <w:tcPr>
            <w:tcW w:type="dxa" w:w="47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PSS × PTH</w:t>
            </w:r>
          </w:p>
        </w:tc>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-0,07</w:t>
            </w:r>
          </w:p>
        </w:tc>
        <w:tc>
          <w:tcPr>
            <w:tcW w:type="dxa" w:w="24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0,369</w:t>
            </w:r>
          </w:p>
        </w:tc>
      </w:tr>
    </w:tbl>
    <w:p>
      <w:pPr>
        <w:spacing w:after="180" w:before="40" w:line="240"/>
        <w:jc w:val="left"/>
      </w:pPr>
      <w:r>
        <w:rPr>
          <w:rFonts w:ascii="Times New Roman" w:cs="Times New Roman" w:eastAsia="Times New Roman" w:hAnsi="Times New Roman"/>
          <w:color w:val="3f3f3f"/>
          <w:sz w:val="20"/>
          <w:szCs w:val="20"/>
        </w:rPr>
        <w:t xml:space="preserve">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As dimensões negativas caminham juntas, o que confirma a coesão do bloco afetivo e respalda o uso da perturbação total do humor como resumo. O par vigor e fadiga associa-se em sentido inverso, relação esperada entre ativação e cansaço. Quanto às medidas externas, a sonolência vincula-se de modo positivo à fadiga e à perturbação do humor e de modo negativo ao vigor, o que a situa no eixo do custo físico. O estresse percebido, por outro lado, revela vínculos fracos e pouco consistentes com o humor, indício de que percorre trajetória autônoma.</w:t>
      </w:r>
    </w:p>
    <w:p>
      <w:pPr>
        <w:keepNext/>
        <w:spacing w:after="140" w:before="300" w:line="360" w:lineRule="auto"/>
      </w:pPr>
      <w:r>
        <w:rPr>
          <w:rFonts w:ascii="Times New Roman" w:cs="Times New Roman" w:eastAsia="Times New Roman" w:hAnsi="Times New Roman"/>
          <w:b/>
          <w:bCs/>
          <w:color w:val="000000"/>
          <w:sz w:val="24"/>
          <w:szCs w:val="24"/>
        </w:rPr>
        <w:t xml:space="preserve">4 TRIANGULAÇÃO ESTÍMULO E RESPOSTA</w:t>
      </w:r>
    </w:p>
    <w:p>
      <w:pPr>
        <w:spacing w:after="0" w:before="0" w:line="360" w:lineRule="auto"/>
        <w:ind w:firstLine="709"/>
        <w:jc w:val="both"/>
      </w:pPr>
      <w:r>
        <w:rPr>
          <w:rFonts w:ascii="Times New Roman" w:cs="Times New Roman" w:eastAsia="Times New Roman" w:hAnsi="Times New Roman"/>
          <w:color w:val="000000"/>
          <w:sz w:val="24"/>
          <w:szCs w:val="24"/>
        </w:rPr>
        <w:t xml:space="preserve">A etapa final integra as evidências para responder à pergunta central: quais medidas respondem a cada estímulo. A triangulação cruza o efeito agudo, o contraste entre tipos de dia, a variabilidade, a confiabilidade e a classificação de perfis, o que confere robustez às conclusões que sobrevivem a mais de um olhar.</w:t>
      </w:r>
    </w:p>
    <w:p>
      <w:pPr>
        <w:keepNext/>
        <w:spacing w:after="90" w:before="200" w:line="360" w:lineRule="auto"/>
      </w:pPr>
      <w:r>
        <w:rPr>
          <w:rFonts w:ascii="Times New Roman" w:cs="Times New Roman" w:eastAsia="Times New Roman" w:hAnsi="Times New Roman"/>
          <w:b/>
          <w:bCs/>
          <w:color w:val="000000"/>
          <w:sz w:val="24"/>
          <w:szCs w:val="24"/>
        </w:rPr>
        <w:t xml:space="preserve">4.1 Contraste direto entre HIIT e jogo amistoso</w:t>
      </w:r>
    </w:p>
    <w:p>
      <w:pPr>
        <w:spacing w:after="0" w:before="0" w:line="360" w:lineRule="auto"/>
        <w:ind w:firstLine="709"/>
        <w:jc w:val="both"/>
      </w:pPr>
      <w:r>
        <w:rPr>
          <w:rFonts w:ascii="Times New Roman" w:cs="Times New Roman" w:eastAsia="Times New Roman" w:hAnsi="Times New Roman"/>
          <w:color w:val="000000"/>
          <w:sz w:val="24"/>
          <w:szCs w:val="24"/>
        </w:rPr>
        <w:t xml:space="preserve">O contraste direto ordena as dimensões pela diferença padronizada entre a média no HIIT e a média no jogo, com pareamento por atleta. A Figura 9 e a Tabela 12 apresentam esse ordenamento e informam o valor de p nominal e o valor corrigido pela taxa de falsa descoberta.</w:t>
      </w:r>
    </w:p>
    <w:p>
      <w:pPr>
        <w:keepNext/>
        <w:spacing w:after="40" w:before="160" w:line="240"/>
        <w:jc w:val="center"/>
      </w:pPr>
      <w:r>
        <w:rPr>
          <w:rFonts w:ascii="Times New Roman" w:cs="Times New Roman" w:eastAsia="Times New Roman" w:hAnsi="Times New Roman"/>
          <w:b/>
          <w:bCs/>
          <w:color w:val="000000"/>
          <w:sz w:val="20"/>
          <w:szCs w:val="20"/>
        </w:rPr>
        <w:t xml:space="preserve">Figura 9</w:t>
      </w:r>
      <w:r>
        <w:rPr>
          <w:rFonts w:ascii="Times New Roman" w:cs="Times New Roman" w:eastAsia="Times New Roman" w:hAnsi="Times New Roman"/>
          <w:color w:val="000000"/>
          <w:sz w:val="20"/>
          <w:szCs w:val="20"/>
        </w:rPr>
        <w:t xml:space="preserve"> – Contraste HIIT menos jogo (dz), pareado por atleta</w:t>
      </w:r>
    </w:p>
    <w:p>
      <w:pPr>
        <w:spacing w:after="0" w:before="4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43175"/>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40" w:before="160" w:line="240"/>
        <w:jc w:val="left"/>
      </w:pPr>
      <w:r>
        <w:rPr>
          <w:rFonts w:ascii="Times New Roman" w:cs="Times New Roman" w:eastAsia="Times New Roman" w:hAnsi="Times New Roman"/>
          <w:b/>
          <w:bCs/>
          <w:color w:val="000000"/>
          <w:sz w:val="20"/>
          <w:szCs w:val="20"/>
        </w:rPr>
        <w:t xml:space="preserve">Tabela 12</w:t>
      </w:r>
      <w:r>
        <w:rPr>
          <w:rFonts w:ascii="Times New Roman" w:cs="Times New Roman" w:eastAsia="Times New Roman" w:hAnsi="Times New Roman"/>
          <w:color w:val="000000"/>
          <w:sz w:val="20"/>
          <w:szCs w:val="20"/>
        </w:rPr>
        <w:t xml:space="preserve"> – Contraste HIIT versus jogo amistoso por dimensão do humor</w:t>
      </w:r>
    </w:p>
    <w:tbl>
      <w:tblPr>
        <w:tblW w:type="dxa" w:w="9505"/>
        <w:tblBorders>
          <w:top w:val="single" w:color="000000" w:sz="6"/>
          <w:left w:val="none"/>
          <w:bottom w:val="single" w:color="000000" w:sz="6"/>
          <w:right w:val="none"/>
          <w:insideH w:val="none"/>
          <w:insideV w:val="none"/>
        </w:tblBorders>
      </w:tblPr>
      <w:tblGrid>
        <w:gridCol w:w="1900"/>
        <w:gridCol w:w="1350"/>
        <w:gridCol w:w="1350"/>
        <w:gridCol w:w="900"/>
        <w:gridCol w:w="1400"/>
        <w:gridCol w:w="1300"/>
        <w:gridCol w:w="1305"/>
      </w:tblGrid>
      <w:tr>
        <w:trPr>
          <w:tblHeader/>
        </w:trPr>
        <w:tc>
          <w:tcPr>
            <w:tcW w:type="dxa" w:w="1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3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Média HIIT</w:t>
            </w:r>
          </w:p>
        </w:tc>
        <w:tc>
          <w:tcPr>
            <w:tcW w:type="dxa" w:w="13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Média jogo</w:t>
            </w:r>
          </w:p>
        </w:tc>
        <w:tc>
          <w:tcPr>
            <w:tcW w:type="dxa" w:w="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w:t>
            </w:r>
          </w:p>
        </w:tc>
        <w:tc>
          <w:tcPr>
            <w:tcW w:type="dxa" w:w="1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Magnitude</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c>
          <w:tcPr>
            <w:tcW w:type="dxa" w:w="13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q (FDR)</w:t>
            </w:r>
          </w:p>
        </w:tc>
      </w:tr>
      <w:tr>
        <w:tc>
          <w:tcPr>
            <w:tcW w:type="dxa" w:w="19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1,50</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1,02</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+0,47</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0,042</w:t>
            </w:r>
          </w:p>
        </w:tc>
        <w:tc>
          <w:tcPr>
            <w:tcW w:type="dxa" w:w="13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0,128</w:t>
            </w:r>
          </w:p>
        </w:tc>
      </w:tr>
      <w:tr>
        <w:tc>
          <w:tcPr>
            <w:tcW w:type="dxa" w:w="19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4,70</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2,52</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+0,46</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0,048</w:t>
            </w:r>
          </w:p>
        </w:tc>
        <w:tc>
          <w:tcPr>
            <w:tcW w:type="dxa" w:w="13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0,128</w:t>
            </w:r>
          </w:p>
        </w:tc>
      </w:tr>
      <w:tr>
        <w:tc>
          <w:tcPr>
            <w:tcW w:type="dxa" w:w="19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1,27</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0,70</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+0,45</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0,037</w:t>
            </w:r>
          </w:p>
        </w:tc>
        <w:tc>
          <w:tcPr>
            <w:tcW w:type="dxa" w:w="13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0,128</w:t>
            </w:r>
          </w:p>
        </w:tc>
      </w:tr>
      <w:tr>
        <w:tc>
          <w:tcPr>
            <w:tcW w:type="dxa" w:w="19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0,45</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0,29</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+0,45</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0,076</w:t>
            </w:r>
          </w:p>
        </w:tc>
        <w:tc>
          <w:tcPr>
            <w:tcW w:type="dxa" w:w="13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0,149</w:t>
            </w:r>
          </w:p>
        </w:tc>
      </w:tr>
      <w:tr>
        <w:tc>
          <w:tcPr>
            <w:tcW w:type="dxa" w:w="19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1,56</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1,08</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+0,35</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pequeno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0,093</w:t>
            </w:r>
          </w:p>
        </w:tc>
        <w:tc>
          <w:tcPr>
            <w:tcW w:type="dxa" w:w="13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0,149</w:t>
            </w:r>
          </w:p>
        </w:tc>
      </w:tr>
      <w:tr>
        <w:tc>
          <w:tcPr>
            <w:tcW w:type="dxa" w:w="19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5,41</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5,00</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+0,20</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trivial</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0,493</w:t>
            </w:r>
          </w:p>
        </w:tc>
        <w:tc>
          <w:tcPr>
            <w:tcW w:type="dxa" w:w="13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0,657</w:t>
            </w:r>
          </w:p>
        </w:tc>
      </w:tr>
      <w:tr>
        <w:tc>
          <w:tcPr>
            <w:tcW w:type="dxa" w:w="19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5,94</w:t>
            </w:r>
          </w:p>
        </w:tc>
        <w:tc>
          <w:tcPr>
            <w:tcW w:type="dxa" w:w="13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5,88</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+0,00</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trivial</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0,677</w:t>
            </w:r>
          </w:p>
        </w:tc>
        <w:tc>
          <w:tcPr>
            <w:tcW w:type="dxa" w:w="13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0,774</w:t>
            </w:r>
          </w:p>
        </w:tc>
      </w:tr>
      <w:tr>
        <w:tc>
          <w:tcPr>
            <w:tcW w:type="dxa" w:w="19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3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5,48</w:t>
            </w:r>
          </w:p>
        </w:tc>
        <w:tc>
          <w:tcPr>
            <w:tcW w:type="dxa" w:w="13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5,57</w:t>
            </w:r>
          </w:p>
        </w:tc>
        <w:tc>
          <w:tcPr>
            <w:tcW w:type="dxa" w:w="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-0,02</w:t>
            </w:r>
          </w:p>
        </w:tc>
        <w:tc>
          <w:tcPr>
            <w:tcW w:type="dxa" w:w="1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trivial</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0,867</w:t>
            </w:r>
          </w:p>
        </w:tc>
        <w:tc>
          <w:tcPr>
            <w:tcW w:type="dxa" w:w="13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q = 0,867</w:t>
            </w:r>
          </w:p>
        </w:tc>
      </w:tr>
    </w:tbl>
    <w:p>
      <w:pPr>
        <w:spacing w:after="180" w:before="40" w:line="240"/>
        <w:jc w:val="left"/>
      </w:pPr>
      <w:r>
        <w:rPr>
          <w:rFonts w:ascii="Times New Roman" w:cs="Times New Roman" w:eastAsia="Times New Roman" w:hAnsi="Times New Roman"/>
          <w:color w:val="3f3f3f"/>
          <w:sz w:val="20"/>
          <w:szCs w:val="20"/>
        </w:rPr>
        <w:t xml:space="preserve">Nota: dz positivo indica escore maior no HIIT; q corrigido por Benjamini-Hochberg (oito testes).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padrão exibe coerência interna notável. As dimensões que mais separam os dois estímulos são todas afetivas, pois a raiva, a perturbação do humor, a depressão e a confusão ficam de meio desvio a acima no HIIT, com magnitude pequena a média. Em sentido oposto, o custo físico quase não distingue os dois contextos, o que revela carga interna semelhante entre correr o HIIT e disputar o jogo. Cabe uma ressalva metodológica importante: nenhuma diferença resiste isolada à correção por comparações múltiplas, razão pela qual o achado vale como conjunto convergente, e não como diferença individual confirmada. Ainda assim, a concordância de quatro dimensões afetivas na mesma direção confere credibilidade que um único teste positivo não alcançaria. A mensagem aplicada é direta: o jogo desgasta o corpo sem adoecer o humor, enquanto o HIIT cobra os dois preços.</w:t>
      </w:r>
    </w:p>
    <w:p>
      <w:pPr>
        <w:keepNext/>
        <w:spacing w:after="90" w:before="200" w:line="360" w:lineRule="auto"/>
      </w:pPr>
      <w:r>
        <w:rPr>
          <w:rFonts w:ascii="Times New Roman" w:cs="Times New Roman" w:eastAsia="Times New Roman" w:hAnsi="Times New Roman"/>
          <w:b/>
          <w:bCs/>
          <w:color w:val="000000"/>
          <w:sz w:val="24"/>
          <w:szCs w:val="24"/>
        </w:rPr>
        <w:t xml:space="preserve">4.2 Sonolência e estresse por tipo de dia e por perfil</w:t>
      </w:r>
    </w:p>
    <w:p>
      <w:pPr>
        <w:spacing w:after="0" w:before="0" w:line="360" w:lineRule="auto"/>
        <w:ind w:firstLine="709"/>
        <w:jc w:val="both"/>
      </w:pPr>
      <w:r>
        <w:rPr>
          <w:rFonts w:ascii="Times New Roman" w:cs="Times New Roman" w:eastAsia="Times New Roman" w:hAnsi="Times New Roman"/>
          <w:color w:val="000000"/>
          <w:sz w:val="24"/>
          <w:szCs w:val="24"/>
        </w:rPr>
        <w:t xml:space="preserve">A Tabela 13 compara a sonolência e o estresse entre os tipos de dia, com o contraste HIIT versus jogo pareado por atleta. A Tabela 14 e a Figura 10 deslocam o olhar para o perfil de humor e agrupam as observações em três blocos, a saber, favorável, neutro e de risco ou sobrecarga.</w:t>
      </w:r>
    </w:p>
    <w:p>
      <w:pPr>
        <w:keepNext/>
        <w:spacing w:after="40" w:before="160" w:line="240"/>
        <w:jc w:val="left"/>
      </w:pPr>
      <w:r>
        <w:rPr>
          <w:rFonts w:ascii="Times New Roman" w:cs="Times New Roman" w:eastAsia="Times New Roman" w:hAnsi="Times New Roman"/>
          <w:b/>
          <w:bCs/>
          <w:color w:val="000000"/>
          <w:sz w:val="20"/>
          <w:szCs w:val="20"/>
        </w:rPr>
        <w:t xml:space="preserve">Tabela 13</w:t>
      </w:r>
      <w:r>
        <w:rPr>
          <w:rFonts w:ascii="Times New Roman" w:cs="Times New Roman" w:eastAsia="Times New Roman" w:hAnsi="Times New Roman"/>
          <w:color w:val="000000"/>
          <w:sz w:val="20"/>
          <w:szCs w:val="20"/>
        </w:rPr>
        <w:t xml:space="preserve"> – Sonolência e estresse por tipo de dia, com contraste HIIT × jogo</w:t>
      </w:r>
    </w:p>
    <w:tbl>
      <w:tblPr>
        <w:tblW w:type="dxa" w:w="9505"/>
        <w:tblBorders>
          <w:top w:val="single" w:color="000000" w:sz="6"/>
          <w:left w:val="none"/>
          <w:bottom w:val="single" w:color="000000" w:sz="6"/>
          <w:right w:val="none"/>
          <w:insideH w:val="none"/>
          <w:insideV w:val="none"/>
        </w:tblBorders>
      </w:tblPr>
      <w:tblGrid>
        <w:gridCol w:w="2400"/>
        <w:gridCol w:w="1300"/>
        <w:gridCol w:w="1300"/>
        <w:gridCol w:w="1300"/>
        <w:gridCol w:w="1400"/>
        <w:gridCol w:w="1805"/>
      </w:tblGrid>
      <w:tr>
        <w:trPr>
          <w:tblHeader/>
        </w:trPr>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Medida</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Outro</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HIIT</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Jogo</w:t>
            </w:r>
          </w:p>
        </w:tc>
        <w:tc>
          <w:tcPr>
            <w:tcW w:type="dxa" w:w="1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 (H×J)</w:t>
            </w:r>
          </w:p>
        </w:tc>
        <w:tc>
          <w:tcPr>
            <w:tcW w:type="dxa" w:w="18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r>
      <w:tr>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Epworth</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8,9</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9,7</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+0,14</w:t>
            </w:r>
          </w:p>
        </w:tc>
        <w:tc>
          <w:tcPr>
            <w:tcW w:type="dxa" w:w="18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0,506</w:t>
            </w:r>
          </w:p>
        </w:tc>
      </w:tr>
      <w:tr>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PSS</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22,5</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22,3</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20,9</w:t>
            </w:r>
          </w:p>
        </w:tc>
        <w:tc>
          <w:tcPr>
            <w:tcW w:type="dxa" w:w="1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+0,40</w:t>
            </w:r>
          </w:p>
        </w:tc>
        <w:tc>
          <w:tcPr>
            <w:tcW w:type="dxa" w:w="18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0,006 *</w:t>
            </w:r>
          </w:p>
        </w:tc>
      </w:tr>
    </w:tbl>
    <w:p>
      <w:pPr>
        <w:spacing w:after="180" w:before="40" w:line="240"/>
        <w:jc w:val="left"/>
      </w:pPr>
      <w:r>
        <w:rPr>
          <w:rFonts w:ascii="Times New Roman" w:cs="Times New Roman" w:eastAsia="Times New Roman" w:hAnsi="Times New Roman"/>
          <w:color w:val="3f3f3f"/>
          <w:sz w:val="20"/>
          <w:szCs w:val="20"/>
        </w:rPr>
        <w:t xml:space="preserve">Nota: o asterisco indica p &lt; 0,05. Fonte: Dados da pesquisa (2026).</w:t>
      </w:r>
    </w:p>
    <w:p>
      <w:pPr>
        <w:keepNext/>
        <w:spacing w:after="40" w:before="160" w:line="240"/>
        <w:jc w:val="left"/>
      </w:pPr>
      <w:r>
        <w:rPr>
          <w:rFonts w:ascii="Times New Roman" w:cs="Times New Roman" w:eastAsia="Times New Roman" w:hAnsi="Times New Roman"/>
          <w:b/>
          <w:bCs/>
          <w:color w:val="000000"/>
          <w:sz w:val="20"/>
          <w:szCs w:val="20"/>
        </w:rPr>
        <w:t xml:space="preserve">Tabela 14</w:t>
      </w:r>
      <w:r>
        <w:rPr>
          <w:rFonts w:ascii="Times New Roman" w:cs="Times New Roman" w:eastAsia="Times New Roman" w:hAnsi="Times New Roman"/>
          <w:color w:val="000000"/>
          <w:sz w:val="20"/>
          <w:szCs w:val="20"/>
        </w:rPr>
        <w:t xml:space="preserve"> – Sonolência e estresse por grupo de perfil de humor (Kruskal-Wallis)</w:t>
      </w:r>
    </w:p>
    <w:tbl>
      <w:tblPr>
        <w:tblW w:type="dxa" w:w="9505"/>
        <w:tblBorders>
          <w:top w:val="single" w:color="000000" w:sz="6"/>
          <w:left w:val="none"/>
          <w:bottom w:val="single" w:color="000000" w:sz="6"/>
          <w:right w:val="none"/>
          <w:insideH w:val="none"/>
          <w:insideV w:val="none"/>
        </w:tblBorders>
      </w:tblPr>
      <w:tblGrid>
        <w:gridCol w:w="2400"/>
        <w:gridCol w:w="1450"/>
        <w:gridCol w:w="1300"/>
        <w:gridCol w:w="1300"/>
        <w:gridCol w:w="1150"/>
        <w:gridCol w:w="1905"/>
      </w:tblGrid>
      <w:tr>
        <w:trPr>
          <w:tblHeader/>
        </w:trPr>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Medida</w:t>
            </w:r>
          </w:p>
        </w:tc>
        <w:tc>
          <w:tcPr>
            <w:tcW w:type="dxa" w:w="14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Favorável</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Neutro</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Risco</w:t>
            </w:r>
          </w:p>
        </w:tc>
        <w:tc>
          <w:tcPr>
            <w:tcW w:type="dxa" w:w="11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H</w:t>
            </w:r>
          </w:p>
        </w:tc>
        <w:tc>
          <w:tcPr>
            <w:tcW w:type="dxa" w:w="19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r>
      <w:tr>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Epworth</w:t>
            </w:r>
          </w:p>
        </w:tc>
        <w:tc>
          <w:tcPr>
            <w:tcW w:type="dxa" w:w="14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11,3</w:t>
            </w:r>
          </w:p>
        </w:tc>
        <w:tc>
          <w:tcPr>
            <w:tcW w:type="dxa" w:w="11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8,82</w:t>
            </w:r>
          </w:p>
        </w:tc>
        <w:tc>
          <w:tcPr>
            <w:tcW w:type="dxa" w:w="19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0,012 *</w:t>
            </w:r>
          </w:p>
        </w:tc>
      </w:tr>
      <w:tr>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PSS</w:t>
            </w:r>
          </w:p>
        </w:tc>
        <w:tc>
          <w:tcPr>
            <w:tcW w:type="dxa" w:w="14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21,8</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21,4</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21,8</w:t>
            </w:r>
          </w:p>
        </w:tc>
        <w:tc>
          <w:tcPr>
            <w:tcW w:type="dxa" w:w="11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0,52</w:t>
            </w:r>
          </w:p>
        </w:tc>
        <w:tc>
          <w:tcPr>
            <w:tcW w:type="dxa" w:w="19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0,771</w:t>
            </w:r>
          </w:p>
        </w:tc>
      </w:tr>
    </w:tbl>
    <w:p>
      <w:pPr>
        <w:spacing w:after="180" w:before="40" w:line="240"/>
        <w:jc w:val="left"/>
      </w:pPr>
      <w:r>
        <w:rPr>
          <w:rFonts w:ascii="Times New Roman" w:cs="Times New Roman" w:eastAsia="Times New Roman" w:hAnsi="Times New Roman"/>
          <w:color w:val="3f3f3f"/>
          <w:sz w:val="20"/>
          <w:szCs w:val="20"/>
        </w:rPr>
        <w:t xml:space="preserve">Nota: o asterisco indica p &lt; 0,05. Fonte: Dados da pesquisa (2026).</w:t>
      </w:r>
    </w:p>
    <w:p>
      <w:pPr>
        <w:keepNext/>
        <w:spacing w:after="40" w:before="160" w:line="240"/>
        <w:jc w:val="center"/>
      </w:pPr>
      <w:r>
        <w:rPr>
          <w:rFonts w:ascii="Times New Roman" w:cs="Times New Roman" w:eastAsia="Times New Roman" w:hAnsi="Times New Roman"/>
          <w:b/>
          <w:bCs/>
          <w:color w:val="000000"/>
          <w:sz w:val="20"/>
          <w:szCs w:val="20"/>
        </w:rPr>
        <w:t xml:space="preserve">Figura 10</w:t>
      </w:r>
      <w:r>
        <w:rPr>
          <w:rFonts w:ascii="Times New Roman" w:cs="Times New Roman" w:eastAsia="Times New Roman" w:hAnsi="Times New Roman"/>
          <w:color w:val="000000"/>
          <w:sz w:val="20"/>
          <w:szCs w:val="20"/>
        </w:rPr>
        <w:t xml:space="preserve"> – Sonolência e estresse por grupo de perfil de humor</w:t>
      </w:r>
    </w:p>
    <w:p>
      <w:pPr>
        <w:spacing w:after="0" w:before="40"/>
        <w:jc w:val="center"/>
      </w:pPr>
      <w:r>
        <w:drawing>
          <wp:inline distT="0" distB="0" distL="0" distR="0">
            <wp:extent cx="4953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76525"/>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spacing w:after="0" w:before="0" w:line="360" w:lineRule="auto"/>
        <w:ind w:firstLine="709"/>
        <w:jc w:val="both"/>
      </w:pPr>
      <w:r>
        <w:rPr>
          <w:rFonts w:ascii="Times New Roman" w:cs="Times New Roman" w:eastAsia="Times New Roman" w:hAnsi="Times New Roman"/>
          <w:color w:val="000000"/>
          <w:sz w:val="24"/>
          <w:szCs w:val="24"/>
        </w:rPr>
        <w:t xml:space="preserve">Dois desfechos robustos emergem. Em primeiro lugar, o estresse percebido recua no dia de jogo em relação ao HIIT, com significância estatística, o que reforça o caráter aversivo do estímulo intervalado já sugerido pelos contrastes afetivos. Em segundo lugar, a sonolência acompanha o perfil, pois se eleva do grupo favorável ao grupo de risco de maneira significativa, ao passo que o estresse não distingue os três grupos. Sono e humor, portanto, integram um mesmo bloco funcional, enquanto o estresse percebido segue dinâmica autônoma.</w:t>
      </w:r>
    </w:p>
    <w:p>
      <w:pPr>
        <w:keepNext/>
        <w:spacing w:after="90" w:before="200" w:line="360" w:lineRule="auto"/>
      </w:pPr>
      <w:r>
        <w:rPr>
          <w:rFonts w:ascii="Times New Roman" w:cs="Times New Roman" w:eastAsia="Times New Roman" w:hAnsi="Times New Roman"/>
          <w:b/>
          <w:bCs/>
          <w:color w:val="000000"/>
          <w:sz w:val="24"/>
          <w:szCs w:val="24"/>
        </w:rPr>
        <w:t xml:space="preserve">4.3 Síntese: os três eixos de resposta</w:t>
      </w:r>
    </w:p>
    <w:p>
      <w:pPr>
        <w:spacing w:after="0" w:before="0" w:line="360" w:lineRule="auto"/>
        <w:ind w:firstLine="709"/>
        <w:jc w:val="both"/>
      </w:pPr>
      <w:r>
        <w:rPr>
          <w:rFonts w:ascii="Times New Roman" w:cs="Times New Roman" w:eastAsia="Times New Roman" w:hAnsi="Times New Roman"/>
          <w:color w:val="000000"/>
          <w:sz w:val="24"/>
          <w:szCs w:val="24"/>
        </w:rPr>
        <w:t xml:space="preserve">O cruzamento de todos os métodos reduz a complexidade das oito variáveis a três eixos independentes de resposta ao estímulo, cada qual com função prática distinta. O primeiro eixo, do custo físico e da sonolência, reúne a fadiga física, a fadiga e a perturbação do humor, que sobem no efeito agudo, acumulam ao longo da semana e concentram o maior sinal com a melhor reprodutibilidade. Esse eixo responde à carga em si e serve para dosá-la. O segundo eixo, do afeto e da aversão, reúne a tensão, a depressão, a raiva e a confusão, que separam o HIIT do jogo e informam sobre o estado psicológico, ainda que a diferença não se confirme variável a variável. O terceiro eixo, do estresse percebido, mostra-se estável na semana, recua no dia de jogo e não segue os perfis, o que revela uma informação própria que os demais marcadores não capturam.</w:t>
      </w:r>
    </w:p>
    <w:p>
      <w:pPr>
        <w:spacing w:after="0" w:before="0" w:line="360" w:lineRule="auto"/>
        <w:ind w:firstLine="709"/>
        <w:jc w:val="both"/>
      </w:pPr>
      <w:r>
        <w:rPr>
          <w:rFonts w:ascii="Times New Roman" w:cs="Times New Roman" w:eastAsia="Times New Roman" w:hAnsi="Times New Roman"/>
          <w:color w:val="000000"/>
          <w:sz w:val="24"/>
          <w:szCs w:val="24"/>
        </w:rPr>
        <w:t xml:space="preserve">A reflexão final que decorre desse quadro aponta para uma divisão de trabalho no monitoramento. A comissão técnica encontra na fadiga física o melhor termômetro da carga interna, pela sua estabilidade e reprodutibilidade, e no afeto e no perfil o melhor retrato do estado psicológico. A atenção redobra nos dias de HIIT do encerramento da semana, quando a sobrecarga física se acumula e o desconforto afetivo se acentua de modo simultâneo.</w:t>
      </w:r>
    </w:p>
    <w:p>
      <w:pPr>
        <w:keepNext/>
        <w:spacing w:after="140" w:before="300" w:line="360" w:lineRule="auto"/>
      </w:pPr>
      <w:r>
        <w:rPr>
          <w:rFonts w:ascii="Times New Roman" w:cs="Times New Roman" w:eastAsia="Times New Roman" w:hAnsi="Times New Roman"/>
          <w:b/>
          <w:bCs/>
          <w:color w:val="000000"/>
          <w:sz w:val="24"/>
          <w:szCs w:val="24"/>
        </w:rPr>
        <w:t xml:space="preserve">5 ANÁLISE DE SENSIBILIDADE: DOIS CAMINHOS (N = 19 E N = 27)</w:t>
      </w:r>
    </w:p>
    <w:p>
      <w:pPr>
        <w:spacing w:after="0" w:before="0" w:line="360" w:lineRule="auto"/>
        <w:ind w:firstLine="709"/>
        <w:jc w:val="both"/>
      </w:pPr>
      <w:r>
        <w:rPr>
          <w:rFonts w:ascii="Times New Roman" w:cs="Times New Roman" w:eastAsia="Times New Roman" w:hAnsi="Times New Roman"/>
          <w:color w:val="000000"/>
          <w:sz w:val="24"/>
          <w:szCs w:val="24"/>
        </w:rPr>
        <w:t xml:space="preserve">Dos 27 atletas, apenas 19 responderam nos sete dias. Como a análise de variância de medidas repetidas exige desenho balanceado, o resultado principal deste estudo repousa sobre esses 19 casos completos, sem qualquer imputação. Convém, porém, examinar a robustez dessa escolha, pois a decisão de aproveitar ou não os oito atletas com dias ausentes altera o poder estatístico. Esta seção confronta dois caminhos e acrescenta um terceiro como árbitro.</w:t>
      </w:r>
    </w:p>
    <w:p>
      <w:pPr>
        <w:spacing w:after="0" w:before="0" w:line="360" w:lineRule="auto"/>
        <w:ind w:firstLine="709"/>
        <w:jc w:val="both"/>
      </w:pPr>
      <w:r>
        <w:rPr>
          <w:rFonts w:ascii="Times New Roman" w:cs="Times New Roman" w:eastAsia="Times New Roman" w:hAnsi="Times New Roman"/>
          <w:color w:val="000000"/>
          <w:sz w:val="24"/>
          <w:szCs w:val="24"/>
        </w:rPr>
        <w:t xml:space="preserve">O primeiro caminho mantém os 19 casos completos. O segundo recupera os 27 atletas e preenche cada dia ausente com a média do grupo naquele dia, procedimento simples porém consequente. O terceiro caminho, tomado como referência por não impor suposições artificiais, ajusta um modelo misto aos 27 atletas com os dados efetivamente observados, no qual o dia entra como efeito fixo e o atleta como efeito aleatório.</w:t>
      </w:r>
    </w:p>
    <w:p>
      <w:pPr>
        <w:keepNext/>
        <w:spacing w:after="40" w:before="160" w:line="240"/>
        <w:jc w:val="center"/>
      </w:pPr>
      <w:r>
        <w:rPr>
          <w:rFonts w:ascii="Times New Roman" w:cs="Times New Roman" w:eastAsia="Times New Roman" w:hAnsi="Times New Roman"/>
          <w:b/>
          <w:bCs/>
          <w:color w:val="000000"/>
          <w:sz w:val="20"/>
          <w:szCs w:val="20"/>
        </w:rPr>
        <w:t xml:space="preserve">Figura 11</w:t>
      </w:r>
      <w:r>
        <w:rPr>
          <w:rFonts w:ascii="Times New Roman" w:cs="Times New Roman" w:eastAsia="Times New Roman" w:hAnsi="Times New Roman"/>
          <w:color w:val="000000"/>
          <w:sz w:val="20"/>
          <w:szCs w:val="20"/>
        </w:rPr>
        <w:t xml:space="preserve"> – Estatística F por variável nos caminhos n = 19 (sem imputação) e n = 27 (imputado). A estrela marca o efeito de dia significativo (ANOVA com correção de Greenhouse-Geisser)</w:t>
      </w:r>
    </w:p>
    <w:p>
      <w:pPr>
        <w:spacing w:after="0" w:before="40"/>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62325"/>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40" w:before="160" w:line="240"/>
        <w:jc w:val="left"/>
      </w:pPr>
      <w:r>
        <w:rPr>
          <w:rFonts w:ascii="Times New Roman" w:cs="Times New Roman" w:eastAsia="Times New Roman" w:hAnsi="Times New Roman"/>
          <w:b/>
          <w:bCs/>
          <w:color w:val="000000"/>
          <w:sz w:val="20"/>
          <w:szCs w:val="20"/>
        </w:rPr>
        <w:t xml:space="preserve">Tabela 15</w:t>
      </w:r>
      <w:r>
        <w:rPr>
          <w:rFonts w:ascii="Times New Roman" w:cs="Times New Roman" w:eastAsia="Times New Roman" w:hAnsi="Times New Roman"/>
          <w:color w:val="000000"/>
          <w:sz w:val="20"/>
          <w:szCs w:val="20"/>
        </w:rPr>
        <w:t xml:space="preserve"> – Omnibus do efeito de dia pelos três caminhos</w:t>
      </w:r>
    </w:p>
    <w:tbl>
      <w:tblPr>
        <w:tblW w:type="dxa" w:w="9505"/>
        <w:tblBorders>
          <w:top w:val="single" w:color="000000" w:sz="6"/>
          <w:left w:val="none"/>
          <w:bottom w:val="single" w:color="000000" w:sz="6"/>
          <w:right w:val="none"/>
          <w:insideH w:val="none"/>
          <w:insideV w:val="none"/>
        </w:tblBorders>
      </w:tblPr>
      <w:tblGrid>
        <w:gridCol w:w="2005"/>
        <w:gridCol w:w="1250"/>
        <w:gridCol w:w="1250"/>
        <w:gridCol w:w="1250"/>
        <w:gridCol w:w="1250"/>
        <w:gridCol w:w="1250"/>
        <w:gridCol w:w="1250"/>
      </w:tblGrid>
      <w:tr>
        <w:trPr>
          <w:tblHeader/>
        </w:trPr>
        <w:tc>
          <w:tcPr>
            <w:tcW w:type="dxa" w:w="20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Variável</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F (n19)</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η²ₚ (n19)</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F (n27)</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η²ₚ (n27)</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 (misto)</w:t>
            </w:r>
          </w:p>
        </w:tc>
        <w:tc>
          <w:tcPr>
            <w:tcW w:type="dxa" w:w="12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Efeito de dia</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0,26</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7,8</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19 · 27 · 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7,6</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19 · 27 · 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13,0</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0,42</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20,9</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19 · 27 · 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mental</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0,08</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0,04</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0,215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 · · · ·</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0,20</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0,14</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0,002</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19 · 27 · 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0,498</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 · · · ·</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0,10</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2,7</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0,09</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0,266</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 · · · ·</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0,18</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3,2</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0,006</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19 · 27 · 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4,7</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0,002</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 · 27 · 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Sonolência (Epworth)</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3,1</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0,15</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3,9</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0,003</w:t>
            </w:r>
          </w:p>
        </w:tc>
        <w:tc>
          <w:tcPr>
            <w:tcW w:type="dxa" w:w="12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19 · 27 · M</w:t>
            </w:r>
          </w:p>
        </w:tc>
      </w:tr>
      <w:tr>
        <w:tc>
          <w:tcPr>
            <w:tcW w:type="dxa" w:w="20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Estresse (PSS)</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0,9</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0,05</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2,5</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0,09</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0,206</w:t>
            </w:r>
          </w:p>
        </w:tc>
        <w:tc>
          <w:tcPr>
            <w:tcW w:type="dxa" w:w="12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 · · · ·</w:t>
            </w:r>
          </w:p>
        </w:tc>
      </w:tr>
    </w:tbl>
    <w:p>
      <w:pPr>
        <w:spacing w:after="180" w:before="40" w:line="240"/>
        <w:jc w:val="left"/>
      </w:pPr>
      <w:r>
        <w:rPr>
          <w:rFonts w:ascii="Times New Roman" w:cs="Times New Roman" w:eastAsia="Times New Roman" w:hAnsi="Times New Roman"/>
          <w:color w:val="3f3f3f"/>
          <w:sz w:val="20"/>
          <w:szCs w:val="20"/>
        </w:rPr>
        <w:t xml:space="preserve">Nota: n19 = casos completos sem imputação; n27 = imputado pela média do dia; misto = modelo misto n = 27 sem imputação (efeito de dia por teste de Wald). Na última coluna, 19/27/M indicam em quais caminhos o efeito de dia é significativo.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A leitura conjunta traz tranquilidade quanto ao essencial e cautela quanto ao detalhe. A direção e a hierarquia das variáveis permanecem idênticas nos três caminhos: a fadiga física lidera com folga e o vigor a acompanha. As duas vias omnibus, a paramétrica com correção de esfericidade e a de Friedman, concordam integralmente sobre quais variáveis têm efeito de dia. O que oscila é a contagem no limiar, de seis variáveis em n = 19 para sete em n = 27, e a magnitude do F.</w:t>
      </w:r>
    </w:p>
    <w:p>
      <w:pPr>
        <w:spacing w:after="0" w:before="0" w:line="360" w:lineRule="auto"/>
        <w:ind w:firstLine="709"/>
        <w:jc w:val="both"/>
      </w:pPr>
      <w:r>
        <w:rPr>
          <w:rFonts w:ascii="Times New Roman" w:cs="Times New Roman" w:eastAsia="Times New Roman" w:hAnsi="Times New Roman"/>
          <w:color w:val="000000"/>
          <w:sz w:val="24"/>
          <w:szCs w:val="24"/>
        </w:rPr>
        <w:t xml:space="preserve">A explicação para essa oscilação é instrutiva. A imputação pela média do dia coloca o valor ausente exatamente sobre a média, o que encolhe de forma artificial a variância de erro e eleva o F sem elevar na mesma proporção o tamanho de efeito. Por isso o F da fadiga física salta de 13,0 em n = 19 para 20,9 em n = 27 imputado, ao passo que o η²ₚ mal se move, de 0,42 para 0,45. A perturbação total do humor ilustra a fronteira: fica aquém do limiar em n = 19 e o cruza em n = 27. Um ponto merece destaque: o modelo misto, que não imputa nada, também acusa a sétima variável como significativa, o que mostra que o ganho não é mero artefato da imputação, e sim reflexo do maior poder da amostra completa.</w:t>
      </w:r>
    </w:p>
    <w:p>
      <w:pPr>
        <w:spacing w:after="0" w:before="0" w:line="360" w:lineRule="auto"/>
        <w:ind w:firstLine="709"/>
        <w:jc w:val="both"/>
      </w:pPr>
      <w:r>
        <w:rPr>
          <w:rFonts w:ascii="Times New Roman" w:cs="Times New Roman" w:eastAsia="Times New Roman" w:hAnsi="Times New Roman"/>
          <w:color w:val="000000"/>
          <w:sz w:val="24"/>
          <w:szCs w:val="24"/>
        </w:rPr>
        <w:t xml:space="preserve">A recomendação que decorre desta análise é dupla. Convém relatar o caminho de casos completos como resultado principal, por ser o mais conservador e livre de suposições, e apresentar o modelo misto como a via correta para aproveitar os 27 atletas quando o objetivo for maximizar o poder. A imputação pela média do dia, embora simples, deve ser evitada como base de inferência, justamente porque infla a estatística de teste. A transparência sobre o tamanho da amostra e o tratamento dos dias ausentes é, portanto, parte inseparável do relato.</w:t>
      </w:r>
    </w:p>
    <w:p>
      <w:pPr>
        <w:keepNext/>
        <w:spacing w:after="90" w:before="200" w:line="360" w:lineRule="auto"/>
      </w:pPr>
      <w:r>
        <w:rPr>
          <w:rFonts w:ascii="Times New Roman" w:cs="Times New Roman" w:eastAsia="Times New Roman" w:hAnsi="Times New Roman"/>
          <w:b/>
          <w:bCs/>
          <w:color w:val="000000"/>
          <w:sz w:val="24"/>
          <w:szCs w:val="24"/>
        </w:rPr>
        <w:t xml:space="preserve">5.1 Padronização dos perfis: referência interna × externa (ilustrativa)</w:t>
      </w:r>
    </w:p>
    <w:p>
      <w:pPr>
        <w:spacing w:after="0" w:before="0" w:line="360" w:lineRule="auto"/>
        <w:ind w:firstLine="709"/>
        <w:jc w:val="both"/>
      </w:pPr>
      <w:r>
        <w:rPr>
          <w:rFonts w:ascii="Times New Roman" w:cs="Times New Roman" w:eastAsia="Times New Roman" w:hAnsi="Times New Roman"/>
          <w:color w:val="000000"/>
          <w:sz w:val="24"/>
          <w:szCs w:val="24"/>
        </w:rPr>
        <w:t xml:space="preserve">A classificação dos perfis de humor deste estudo padroniza cada subescala contra a média e o desvio padrão da própria amostra, ou seja, adota uma referência interna. Convém examinar o quanto essa escolha condiciona os rótulos, pois a alternativa seria padronizar contra uma referência externa, isto é, contra normas de uma população. A Tabela 16 apresenta, a título ilustrativo, o contraste entre a prevalência dos perfis obtida pela referência interna e por uma referência externa representativa das normas adultas do BRUMS. Convém frisar que os valores externos empregados são ilustrativos, não reproduzem verbatim nenhuma tabela publicada e servem apenas para evidenciar o efeito da escolha; para uma análise definitiva bastaria substituí-los pelas normas oficiais (Terry, Lane e Fogarty, 2003; ou as normas brasileiras de Rohlfs et al., 2008).</w:t>
      </w:r>
    </w:p>
    <w:p>
      <w:pPr>
        <w:keepNext/>
        <w:spacing w:after="40" w:before="160" w:line="240"/>
        <w:jc w:val="left"/>
      </w:pPr>
      <w:r>
        <w:rPr>
          <w:rFonts w:ascii="Times New Roman" w:cs="Times New Roman" w:eastAsia="Times New Roman" w:hAnsi="Times New Roman"/>
          <w:b/>
          <w:bCs/>
          <w:color w:val="000000"/>
          <w:sz w:val="20"/>
          <w:szCs w:val="20"/>
        </w:rPr>
        <w:t xml:space="preserve">Tabela 16</w:t>
      </w:r>
      <w:r>
        <w:rPr>
          <w:rFonts w:ascii="Times New Roman" w:cs="Times New Roman" w:eastAsia="Times New Roman" w:hAnsi="Times New Roman"/>
          <w:color w:val="000000"/>
          <w:sz w:val="20"/>
          <w:szCs w:val="20"/>
        </w:rPr>
        <w:t xml:space="preserve"> – Prevalência dos perfis de humor sob padronização interna e externa (ilustrativa)</w:t>
      </w:r>
    </w:p>
    <w:tbl>
      <w:tblPr>
        <w:tblW w:type="dxa" w:w="9505"/>
        <w:tblBorders>
          <w:top w:val="single" w:color="000000" w:sz="6"/>
          <w:left w:val="none"/>
          <w:bottom w:val="single" w:color="000000" w:sz="6"/>
          <w:right w:val="none"/>
          <w:insideH w:val="none"/>
          <w:insideV w:val="none"/>
        </w:tblBorders>
      </w:tblPr>
      <w:tblGrid>
        <w:gridCol w:w="4705"/>
        <w:gridCol w:w="2400"/>
        <w:gridCol w:w="2400"/>
      </w:tblGrid>
      <w:tr>
        <w:trPr>
          <w:tblHeader/>
        </w:trPr>
        <w:tc>
          <w:tcPr>
            <w:tcW w:type="dxa" w:w="47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Perfil</w:t>
            </w:r>
          </w:p>
        </w:tc>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Interno (amostra)</w:t>
            </w:r>
          </w:p>
        </w:tc>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Externo (ilustrativo)</w:t>
            </w:r>
          </w:p>
        </w:tc>
      </w:tr>
      <w:tr>
        <w:tc>
          <w:tcPr>
            <w:tcW w:type="dxa" w:w="47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Iceberg</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31,6%</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17,1%</w:t>
            </w:r>
          </w:p>
        </w:tc>
      </w:tr>
      <w:tr>
        <w:tc>
          <w:tcPr>
            <w:tcW w:type="dxa" w:w="47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Superfície</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31,1%</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11,8%</w:t>
            </w:r>
          </w:p>
        </w:tc>
      </w:tr>
      <w:tr>
        <w:tc>
          <w:tcPr>
            <w:tcW w:type="dxa" w:w="47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Submerso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10,3%</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52,6%</w:t>
            </w:r>
          </w:p>
        </w:tc>
      </w:tr>
      <w:tr>
        <w:tc>
          <w:tcPr>
            <w:tcW w:type="dxa" w:w="47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Barbatana de tubarão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9,2%</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8,1%</w:t>
            </w:r>
          </w:p>
        </w:tc>
      </w:tr>
      <w:tr>
        <w:tc>
          <w:tcPr>
            <w:tcW w:type="dxa" w:w="47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Everest invertido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9,2%</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2,6%</w:t>
            </w:r>
          </w:p>
        </w:tc>
      </w:tr>
      <w:tr>
        <w:tc>
          <w:tcPr>
            <w:tcW w:type="dxa" w:w="47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Iceberg invertido</w:t>
            </w:r>
          </w:p>
        </w:tc>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8,6%</w:t>
            </w:r>
          </w:p>
        </w:tc>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7,7%</w:t>
            </w:r>
          </w:p>
        </w:tc>
      </w:tr>
    </w:tbl>
    <w:p>
      <w:pPr>
        <w:spacing w:after="180" w:before="40" w:line="240"/>
        <w:jc w:val="left"/>
      </w:pPr>
      <w:r>
        <w:rPr>
          <w:rFonts w:ascii="Times New Roman" w:cs="Times New Roman" w:eastAsia="Times New Roman" w:hAnsi="Times New Roman"/>
          <w:color w:val="3f3f3f"/>
          <w:sz w:val="20"/>
          <w:szCs w:val="20"/>
        </w:rPr>
        <w:t xml:space="preserve">Nota: interno = z contra a média/DP da amostra; externo = z contra referência ilustrativa de normas adultas do BRUMS.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contraste é instrutivo. Sob a referência interna, a média da amostra corresponde ao ponto neutro, de modo que o elenco se distribui em torno dos perfis favoráveis, com predomínio de iceberg e superfície. Sob a referência externa, ancorada em uma população de vigor mais elevado, os escores absolutos desta equipe situam-se abaixo da referência e a maioria das respostas migra para o perfil submerso. A lição metodológica é direta: o rótulo do perfil é relativo à referência adotada e não deve ser lido como categoria absoluta.</w:t>
      </w:r>
    </w:p>
    <w:p>
      <w:pPr>
        <w:spacing w:after="0" w:before="0" w:line="360" w:lineRule="auto"/>
        <w:ind w:firstLine="709"/>
        <w:jc w:val="both"/>
      </w:pPr>
      <w:r>
        <w:rPr>
          <w:rFonts w:ascii="Times New Roman" w:cs="Times New Roman" w:eastAsia="Times New Roman" w:hAnsi="Times New Roman"/>
          <w:color w:val="000000"/>
          <w:sz w:val="24"/>
          <w:szCs w:val="24"/>
        </w:rPr>
        <w:t xml:space="preserve">Um ponto tranquiliza quanto à leitura dinâmica do estudo. Embora a prevalência absoluta mude de forma expressiva entre as duas referências, a direção da migração ao longo da semana permanece a mesma nos dois modos, pois o perfil iceberg recua de D1 a D7 tanto na padronização interna quanto na externa. Assim, a interpretação central, a erosão do estado favorável conforme a carga se acumula, é robusta à escolha da referência, ainda que os rótulos absolutos dependam dela. Por essa razão, o estudo relata os perfis como descrição transversal do próprio elenco, e não como norma populacional.</w:t>
      </w:r>
    </w:p>
    <w:p>
      <w:pPr>
        <w:keepNext/>
        <w:spacing w:after="90" w:before="200" w:line="360" w:lineRule="auto"/>
      </w:pPr>
      <w:r>
        <w:rPr>
          <w:rFonts w:ascii="Times New Roman" w:cs="Times New Roman" w:eastAsia="Times New Roman" w:hAnsi="Times New Roman"/>
          <w:b/>
          <w:bCs/>
          <w:color w:val="000000"/>
          <w:sz w:val="24"/>
          <w:szCs w:val="24"/>
        </w:rPr>
        <w:t xml:space="preserve">5.2 Confirmação da triangulação por métodos convergentes</w:t>
      </w:r>
    </w:p>
    <w:p>
      <w:pPr>
        <w:spacing w:after="0" w:before="0" w:line="360" w:lineRule="auto"/>
        <w:ind w:firstLine="709"/>
        <w:jc w:val="both"/>
      </w:pPr>
      <w:r>
        <w:rPr>
          <w:rFonts w:ascii="Times New Roman" w:cs="Times New Roman" w:eastAsia="Times New Roman" w:hAnsi="Times New Roman"/>
          <w:color w:val="000000"/>
          <w:sz w:val="24"/>
          <w:szCs w:val="24"/>
        </w:rPr>
        <w:t xml:space="preserve">A robustez de uma triangulação depende de os seus valores resistirem a mais de uma via de cálculo. Por isso, cada contraste e cada efeito agudo foi reavaliado por três caminhos independentes, a saber, o teste de Wilcoxon pareado, um teste de permutação por troca de sinais e o intervalo de confiança de 95% do tamanho de efeito obtido por reamostragem. A concordância entre as três vias serve de selo de confiança. O acordo foi elevado: 7 dos 8 contrastes e 23 dos 24 efeitos agudos apontaram no mesmo sentido pelas três abordagens.</w:t>
      </w:r>
    </w:p>
    <w:p>
      <w:pPr>
        <w:keepNext/>
        <w:spacing w:after="40" w:before="160" w:line="240"/>
        <w:jc w:val="left"/>
      </w:pPr>
      <w:r>
        <w:rPr>
          <w:rFonts w:ascii="Times New Roman" w:cs="Times New Roman" w:eastAsia="Times New Roman" w:hAnsi="Times New Roman"/>
          <w:b/>
          <w:bCs/>
          <w:color w:val="000000"/>
          <w:sz w:val="20"/>
          <w:szCs w:val="20"/>
        </w:rPr>
        <w:t xml:space="preserve">Tabela 17</w:t>
      </w:r>
      <w:r>
        <w:rPr>
          <w:rFonts w:ascii="Times New Roman" w:cs="Times New Roman" w:eastAsia="Times New Roman" w:hAnsi="Times New Roman"/>
          <w:color w:val="000000"/>
          <w:sz w:val="20"/>
          <w:szCs w:val="20"/>
        </w:rPr>
        <w:t xml:space="preserve"> – Confirmação do contraste HIIT versus jogo por três vias independentes</w:t>
      </w:r>
    </w:p>
    <w:tbl>
      <w:tblPr>
        <w:tblW w:type="dxa" w:w="9505"/>
        <w:tblBorders>
          <w:top w:val="single" w:color="000000" w:sz="6"/>
          <w:left w:val="none"/>
          <w:bottom w:val="single" w:color="000000" w:sz="6"/>
          <w:right w:val="none"/>
          <w:insideH w:val="none"/>
          <w:insideV w:val="none"/>
        </w:tblBorders>
      </w:tblPr>
      <w:tblGrid>
        <w:gridCol w:w="2005"/>
        <w:gridCol w:w="1000"/>
        <w:gridCol w:w="1900"/>
        <w:gridCol w:w="1500"/>
        <w:gridCol w:w="1500"/>
        <w:gridCol w:w="1600"/>
      </w:tblGrid>
      <w:tr>
        <w:trPr>
          <w:tblHeader/>
        </w:trPr>
        <w:tc>
          <w:tcPr>
            <w:tcW w:type="dxa" w:w="20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Variável</w:t>
            </w:r>
          </w:p>
        </w:tc>
        <w:tc>
          <w:tcPr>
            <w:tcW w:type="dxa" w:w="1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w:t>
            </w:r>
          </w:p>
        </w:tc>
        <w:tc>
          <w:tcPr>
            <w:tcW w:type="dxa" w:w="1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 do dz</w:t>
            </w:r>
          </w:p>
        </w:tc>
        <w:tc>
          <w:tcPr>
            <w:tcW w:type="dxa" w:w="15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Wilcoxon</w:t>
            </w:r>
          </w:p>
        </w:tc>
        <w:tc>
          <w:tcPr>
            <w:tcW w:type="dxa" w:w="15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Permutação</w:t>
            </w:r>
          </w:p>
        </w:tc>
        <w:tc>
          <w:tcPr>
            <w:tcW w:type="dxa" w:w="16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Três vias</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+0,47</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[0,12; 0,85]</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0,042</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0,027</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sim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+0,46</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[0,10; 0,91]</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0,048</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0,029</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sim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+0,45</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[0,24; 0,68]</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0,037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0,014</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sim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+0,45</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[0,10; 0,83]</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0,076</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0,033</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parcial</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+0,35</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[-0,03; 0,75]</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0,093</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0,092</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sim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+0,20</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[-0,20; 0,63]</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0,493</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0,323</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sim</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+0,00</w:t>
            </w:r>
          </w:p>
        </w:tc>
        <w:tc>
          <w:tcPr>
            <w:tcW w:type="dxa" w:w="1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[-0,51; 0,36]</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0,677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0,998</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sim</w:t>
            </w:r>
          </w:p>
        </w:tc>
      </w:tr>
      <w:tr>
        <w:tc>
          <w:tcPr>
            <w:tcW w:type="dxa" w:w="20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-0,02</w:t>
            </w:r>
          </w:p>
        </w:tc>
        <w:tc>
          <w:tcPr>
            <w:tcW w:type="dxa" w:w="1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[-0,45; 0,38]</w:t>
            </w:r>
          </w:p>
        </w:tc>
        <w:tc>
          <w:tcPr>
            <w:tcW w:type="dxa" w:w="15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0,867</w:t>
            </w:r>
          </w:p>
        </w:tc>
        <w:tc>
          <w:tcPr>
            <w:tcW w:type="dxa" w:w="15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0,923</w:t>
            </w:r>
          </w:p>
        </w:tc>
        <w:tc>
          <w:tcPr>
            <w:tcW w:type="dxa" w:w="16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sim</w:t>
            </w:r>
          </w:p>
        </w:tc>
      </w:tr>
    </w:tbl>
    <w:p>
      <w:pPr>
        <w:spacing w:after="180" w:before="40" w:line="240"/>
        <w:jc w:val="left"/>
      </w:pPr>
      <w:r>
        <w:rPr>
          <w:rFonts w:ascii="Times New Roman" w:cs="Times New Roman" w:eastAsia="Times New Roman" w:hAnsi="Times New Roman"/>
          <w:color w:val="3f3f3f"/>
          <w:sz w:val="20"/>
          <w:szCs w:val="20"/>
        </w:rPr>
        <w:t xml:space="preserve">Nota: dz positivo indica escore maior no HIIT; IC 95% por bootstrap; permutação por troca de sinais (sign-flip).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As três dimensões afetivas que separam os estímulos, a raiva, a perturbação total do humor e a depressão, apresentaram intervalo de confiança do tamanho de efeito inteiramente acima de zero e permutação significativa, o que reforça o achado para além do teste original. A confusão ficou no limiar, com concordância apenas parcial entre as vias. Nenhum contraste sobrevive à correção por comparações múltiplas, resultado esperado com oito testes, de modo que o conjunto vale como padrão convergente e não como diferença individual confirmada. A associação entre sono e perfil recebeu igual reforço: além do teste de Kruskal-Wallis, uma prova de tendência de Kendall para grupos ordenados confirmou que o grupo de risco é o mais sonolento.</w:t>
      </w:r>
    </w:p>
    <w:p>
      <w:pPr>
        <w:spacing w:after="0" w:before="0" w:line="360" w:lineRule="auto"/>
        <w:ind w:firstLine="709"/>
        <w:jc w:val="both"/>
      </w:pPr>
      <w:r>
        <w:rPr>
          <w:rFonts w:ascii="Times New Roman" w:cs="Times New Roman" w:eastAsia="Times New Roman" w:hAnsi="Times New Roman"/>
          <w:color w:val="000000"/>
          <w:sz w:val="24"/>
          <w:szCs w:val="24"/>
        </w:rPr>
        <w:t xml:space="preserve">Uma propriedade matemática esclarece o alcance da análise de padronização apresentada na Seção 5.1. Os tamanhos de efeito padronizados e o coeficiente intraclasse são invariantes à padronização linear por variável, pois subtrair uma média e dividir por um desvio padrão constante cancela no numerador e no denominador do dz. A verificação numérica confirmou a igualdade: raiva, perturbação do humor e depressão produzem o mesmo dz nos escores brutos e nos escores padronizados por referência externa, com diferença inferior a um milésimo de milésimo. Assim, apenas as partes que dependem do rótulo do perfil variam com a referência adotada, ao passo que o núcleo quantitativo da triangulação permanece o mesmo.</w:t>
      </w:r>
    </w:p>
    <w:p>
      <w:pPr>
        <w:keepNext/>
        <w:spacing w:after="90" w:before="200" w:line="360" w:lineRule="auto"/>
      </w:pPr>
      <w:r>
        <w:rPr>
          <w:rFonts w:ascii="Times New Roman" w:cs="Times New Roman" w:eastAsia="Times New Roman" w:hAnsi="Times New Roman"/>
          <w:b/>
          <w:bCs/>
          <w:color w:val="000000"/>
          <w:sz w:val="24"/>
          <w:szCs w:val="24"/>
        </w:rPr>
        <w:t xml:space="preserve">5.3 Síntese das associações e relações significativas</w:t>
      </w:r>
    </w:p>
    <w:p>
      <w:pPr>
        <w:spacing w:after="0" w:before="0" w:line="360" w:lineRule="auto"/>
        <w:ind w:firstLine="709"/>
        <w:jc w:val="both"/>
      </w:pPr>
      <w:r>
        <w:rPr>
          <w:rFonts w:ascii="Times New Roman" w:cs="Times New Roman" w:eastAsia="Times New Roman" w:hAnsi="Times New Roman"/>
          <w:color w:val="000000"/>
          <w:sz w:val="24"/>
          <w:szCs w:val="24"/>
        </w:rPr>
        <w:t xml:space="preserve">A Tabela 18 reúne, em um único quadro, as associações e as relações que alcançaram significância estatística ao longo do estudo. A consolidação facilita a leitura de conjunto e evidencia que os achados relevantes se concentram em três frentes: o contraste afetivo entre estímulos, o acoplamento entre sono e humor e a coesão interna das dimensões negativas.</w:t>
      </w:r>
    </w:p>
    <w:p>
      <w:pPr>
        <w:keepNext/>
        <w:spacing w:after="40" w:before="160" w:line="240"/>
        <w:jc w:val="left"/>
      </w:pPr>
      <w:r>
        <w:rPr>
          <w:rFonts w:ascii="Times New Roman" w:cs="Times New Roman" w:eastAsia="Times New Roman" w:hAnsi="Times New Roman"/>
          <w:b/>
          <w:bCs/>
          <w:color w:val="000000"/>
          <w:sz w:val="20"/>
          <w:szCs w:val="20"/>
        </w:rPr>
        <w:t xml:space="preserve">Tabela 18</w:t>
      </w:r>
      <w:r>
        <w:rPr>
          <w:rFonts w:ascii="Times New Roman" w:cs="Times New Roman" w:eastAsia="Times New Roman" w:hAnsi="Times New Roman"/>
          <w:color w:val="000000"/>
          <w:sz w:val="20"/>
          <w:szCs w:val="20"/>
        </w:rPr>
        <w:t xml:space="preserve"> – Associações e relações estatisticamente significativas do estudo</w:t>
      </w:r>
    </w:p>
    <w:tbl>
      <w:tblPr>
        <w:tblW w:type="dxa" w:w="9505"/>
        <w:tblBorders>
          <w:top w:val="single" w:color="000000" w:sz="6"/>
          <w:left w:val="none"/>
          <w:bottom w:val="single" w:color="000000" w:sz="6"/>
          <w:right w:val="none"/>
          <w:insideH w:val="none"/>
          <w:insideV w:val="none"/>
        </w:tblBorders>
      </w:tblPr>
      <w:tblGrid>
        <w:gridCol w:w="3205"/>
        <w:gridCol w:w="1300"/>
        <w:gridCol w:w="1300"/>
        <w:gridCol w:w="2400"/>
        <w:gridCol w:w="1300"/>
      </w:tblGrid>
      <w:tr>
        <w:trPr>
          <w:tblHeader/>
        </w:trPr>
        <w:tc>
          <w:tcPr>
            <w:tcW w:type="dxa" w:w="32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Relação</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Tipo</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Estimativa</w:t>
            </w:r>
          </w:p>
        </w:tc>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 p</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Método</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Depressão (HIIT × jogo)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contraste</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 +0,45</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IC [0,24; 0,68]</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Wilcoxon+perm.+IC</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Raiva (HIIT × jogo)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contraste</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 +0,47</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IC [0,12; 0,85]</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Wilcoxon+perm.+IC</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PTH (HIIT × jogo)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contraste</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 +0,46</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IC [0,10; 0,91]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Wilcoxon+perm.+IC</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Estresse (PSS): jogo &lt; HIIT</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contraste</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 +0,40</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0,006</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Wilcoxon pareado</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Sonolência (Epworth) × grupo de perfil</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tendência</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τ +0,18</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0,007 · Kruskal = 0,017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Kendall + Kruskal</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depressão × raiva</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correlação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+0,55</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Spearman (atleta)</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fadiga × raiva</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correlação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+0,48</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Spearman (atleta)</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fadiga × depressão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correlação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+0,45</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0,019</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Spearman (atleta)</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depressão × confusão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correlação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+0,42</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0,027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Spearman (atleta)</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Epworth × fadiga</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correlação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+0,18</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0,032</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Spearman (atleta)</w:t>
            </w:r>
          </w:p>
        </w:tc>
      </w:tr>
      <w:tr>
        <w:tc>
          <w:tcPr>
            <w:tcW w:type="dxa" w:w="3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Epworth × vigor</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correlação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-0,29</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&lt; 0,001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Spearman (atleta)</w:t>
            </w:r>
          </w:p>
        </w:tc>
      </w:tr>
      <w:tr>
        <w:tc>
          <w:tcPr>
            <w:tcW w:type="dxa" w:w="32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Epworth × PTH</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correlação</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+0,26</w:t>
            </w:r>
          </w:p>
        </w:tc>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0,002</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Spearman (atleta)</w:t>
            </w:r>
          </w:p>
        </w:tc>
      </w:tr>
    </w:tbl>
    <w:p>
      <w:pPr>
        <w:spacing w:after="180" w:before="40" w:line="240"/>
        <w:jc w:val="left"/>
      </w:pPr>
      <w:r>
        <w:rPr>
          <w:rFonts w:ascii="Times New Roman" w:cs="Times New Roman" w:eastAsia="Times New Roman" w:hAnsi="Times New Roman"/>
          <w:color w:val="3f3f3f"/>
          <w:sz w:val="20"/>
          <w:szCs w:val="20"/>
        </w:rPr>
        <w:t xml:space="preserve">Nota: dz = tamanho de efeito para medidas repetidas; ρ = correlação de Spearman no nível do atleta; τ = tau de Kendall para tendência entre grupos ordenados. Apenas relações com p &lt; 0,05.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quadro consolidado confirma a leitura central do estudo. O afeto negativo, com destaque para a raiva, a depressão e a perturbação total do humor, é o que distingue o HIIT do jogo. O estresse percebido recua no dia de jogo. A sonolência acompanha o perfil de humor, com o grupo de risco mais sonolento. E as dimensões negativas correlacionam-se entre si de forma consistente, o que sustenta o uso da perturbação total do humor como resumo do afeto. Nenhuma dessas relações isoladas sobrevive de modo automático à correção por múltiplas comparações, porém a convergência entre métodos e entre pares confere ao conjunto uma credibilidade que um teste solitário não alcançaria.</w:t>
      </w:r>
    </w:p>
    <w:p>
      <w:pPr>
        <w:keepNext/>
        <w:spacing w:after="140" w:before="300" w:line="360" w:lineRule="auto"/>
      </w:pPr>
      <w:r>
        <w:rPr>
          <w:rFonts w:ascii="Times New Roman" w:cs="Times New Roman" w:eastAsia="Times New Roman" w:hAnsi="Times New Roman"/>
          <w:b/>
          <w:bCs/>
          <w:color w:val="000000"/>
          <w:sz w:val="24"/>
          <w:szCs w:val="24"/>
        </w:rPr>
        <w:t xml:space="preserve">6 MODELOS COMPLEMENTARES E ANÁLISE SEGMENTADA</w:t>
      </w:r>
    </w:p>
    <w:p>
      <w:pPr>
        <w:spacing w:after="0" w:before="0" w:line="360" w:lineRule="auto"/>
        <w:ind w:firstLine="709"/>
        <w:jc w:val="both"/>
      </w:pPr>
      <w:r>
        <w:rPr>
          <w:rFonts w:ascii="Times New Roman" w:cs="Times New Roman" w:eastAsia="Times New Roman" w:hAnsi="Times New Roman"/>
          <w:color w:val="000000"/>
          <w:sz w:val="24"/>
          <w:szCs w:val="24"/>
        </w:rPr>
        <w:t xml:space="preserve">As seções anteriores estabeleceram a descrição, a triangulação e a robustez do achado central. Esta parte acrescenta cinco camadas de modelagem que refinam a leitura sem contradizê-la. A primeira examina se o efeito agudo depende do tipo de dia por meio de um modelo fatorial. A segunda descreve a dinâmica de um dia para o seguinte com um modelo autorregressivo de painel e com um modelo linear generalizado. A terceira audita a estrutura real das sessões de treino e normaliza a carga. A quarta repete a bateria dentro de cada estrato de estímulo. A quinta ajusta o humor pelo pico de velocidade e reúne as regressões. Todas as análises respeitam o mesmo desenho de grupo único, de modo que as leituras permanecem descritivas e de rastreio.</w:t>
      </w:r>
    </w:p>
    <w:p>
      <w:pPr>
        <w:keepNext/>
        <w:spacing w:after="90" w:before="200" w:line="360" w:lineRule="auto"/>
      </w:pPr>
      <w:r>
        <w:rPr>
          <w:rFonts w:ascii="Times New Roman" w:cs="Times New Roman" w:eastAsia="Times New Roman" w:hAnsi="Times New Roman"/>
          <w:b/>
          <w:bCs/>
          <w:color w:val="000000"/>
          <w:sz w:val="24"/>
          <w:szCs w:val="24"/>
        </w:rPr>
        <w:t xml:space="preserve">6.1 Análise fatorial: momento e tipo de dia</w:t>
      </w:r>
    </w:p>
    <w:p>
      <w:pPr>
        <w:spacing w:after="0" w:before="0" w:line="360" w:lineRule="auto"/>
        <w:ind w:firstLine="709"/>
        <w:jc w:val="both"/>
      </w:pPr>
      <w:r>
        <w:rPr>
          <w:rFonts w:ascii="Times New Roman" w:cs="Times New Roman" w:eastAsia="Times New Roman" w:hAnsi="Times New Roman"/>
          <w:color w:val="000000"/>
          <w:sz w:val="24"/>
          <w:szCs w:val="24"/>
        </w:rPr>
        <w:t xml:space="preserve">Um modelo fatorial de dois fatores intra-sujeito pergunta se o efeito agudo do treino, medido do pré para o pós, depende do tipo de dia. O primeiro fator é o momento, com dois níveis, e o segundo é o tipo de dia, com três níveis, a saber, HIIT, jogo e força. Cabe uma ressalva de desenho: como o estudo é observacional, esta é uma análise fatorial de fatores observados, e não um experimento com alocação aleatória, razão pela qual o tipo de dia guarda confundimento com o dia e com a carga acumulada. A Figura 12 ilustra a interação para a perturbação total do humor, e a Tabela 19 resume os efeitos por dimensão.</w:t>
      </w:r>
    </w:p>
    <w:p>
      <w:pPr>
        <w:keepNext/>
        <w:spacing w:after="40" w:before="160" w:line="240"/>
        <w:jc w:val="center"/>
      </w:pPr>
      <w:r>
        <w:rPr>
          <w:rFonts w:ascii="Times New Roman" w:cs="Times New Roman" w:eastAsia="Times New Roman" w:hAnsi="Times New Roman"/>
          <w:b/>
          <w:bCs/>
          <w:color w:val="000000"/>
          <w:sz w:val="20"/>
          <w:szCs w:val="20"/>
        </w:rPr>
        <w:t xml:space="preserve">Figura 12</w:t>
      </w:r>
      <w:r>
        <w:rPr>
          <w:rFonts w:ascii="Times New Roman" w:cs="Times New Roman" w:eastAsia="Times New Roman" w:hAnsi="Times New Roman"/>
          <w:color w:val="000000"/>
          <w:sz w:val="20"/>
          <w:szCs w:val="20"/>
        </w:rPr>
        <w:t xml:space="preserve"> – Interação Momento × Tipo de dia na perturbação total do humor. As linhas não paralelas sinalizam interação</w:t>
      </w:r>
    </w:p>
    <w:p>
      <w:pPr>
        <w:spacing w:after="0" w:before="40"/>
        <w:jc w:val="center"/>
      </w:pPr>
      <w:r>
        <w:drawing>
          <wp:inline distT="0" distB="0" distL="0" distR="0">
            <wp:extent cx="4953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1465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40" w:before="160" w:line="240"/>
        <w:jc w:val="left"/>
      </w:pPr>
      <w:r>
        <w:rPr>
          <w:rFonts w:ascii="Times New Roman" w:cs="Times New Roman" w:eastAsia="Times New Roman" w:hAnsi="Times New Roman"/>
          <w:b/>
          <w:bCs/>
          <w:color w:val="000000"/>
          <w:sz w:val="20"/>
          <w:szCs w:val="20"/>
        </w:rPr>
        <w:t xml:space="preserve">Tabela 19</w:t>
      </w:r>
      <w:r>
        <w:rPr>
          <w:rFonts w:ascii="Times New Roman" w:cs="Times New Roman" w:eastAsia="Times New Roman" w:hAnsi="Times New Roman"/>
          <w:color w:val="000000"/>
          <w:sz w:val="20"/>
          <w:szCs w:val="20"/>
        </w:rPr>
        <w:t xml:space="preserve"> – Análise fatorial Momento × Tipo de dia: tamanho de efeito (η²ₚ) por dimensão</w:t>
      </w:r>
    </w:p>
    <w:tbl>
      <w:tblPr>
        <w:tblW w:type="dxa" w:w="9505"/>
        <w:tblBorders>
          <w:top w:val="single" w:color="000000" w:sz="6"/>
          <w:left w:val="none"/>
          <w:bottom w:val="single" w:color="000000" w:sz="6"/>
          <w:right w:val="none"/>
          <w:insideH w:val="none"/>
          <w:insideV w:val="none"/>
        </w:tblBorders>
      </w:tblPr>
      <w:tblGrid>
        <w:gridCol w:w="2505"/>
        <w:gridCol w:w="1750"/>
        <w:gridCol w:w="1750"/>
        <w:gridCol w:w="1750"/>
        <w:gridCol w:w="1750"/>
      </w:tblGrid>
      <w:tr>
        <w:trPr>
          <w:tblHeader/>
        </w:trPr>
        <w:tc>
          <w:tcPr>
            <w:tcW w:type="dxa" w:w="25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Momento</w:t>
            </w:r>
          </w:p>
        </w:tc>
        <w:tc>
          <w:tcPr>
            <w:tcW w:type="dxa" w:w="1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Tipo de dia</w:t>
            </w:r>
          </w:p>
        </w:tc>
        <w:tc>
          <w:tcPr>
            <w:tcW w:type="dxa" w:w="1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Interação</w:t>
            </w:r>
          </w:p>
        </w:tc>
        <w:tc>
          <w:tcPr>
            <w:tcW w:type="dxa" w:w="17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Misto p(int.)</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0,23 *</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0,08</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0,19 *</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0,062</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0,19 *</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0,09</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0,03</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0,380</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0,11</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0,03</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0,01</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0,655</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0,14</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0,06</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0,24 *</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0,025 *</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0,13</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0,09</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0,26 *</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0,013 *</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0,10</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0,13</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0,077</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0,26 *</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0,15</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0,30 *</w:t>
            </w:r>
          </w:p>
        </w:tc>
        <w:tc>
          <w:tcPr>
            <w:tcW w:type="dxa" w:w="17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0,034 *</w:t>
            </w:r>
          </w:p>
        </w:tc>
      </w:tr>
      <w:tr>
        <w:tc>
          <w:tcPr>
            <w:tcW w:type="dxa" w:w="25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1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0,38 *</w:t>
            </w:r>
          </w:p>
        </w:tc>
        <w:tc>
          <w:tcPr>
            <w:tcW w:type="dxa" w:w="1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0,10</w:t>
            </w:r>
          </w:p>
        </w:tc>
        <w:tc>
          <w:tcPr>
            <w:tcW w:type="dxa" w:w="1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0,08</w:t>
            </w:r>
          </w:p>
        </w:tc>
        <w:tc>
          <w:tcPr>
            <w:tcW w:type="dxa" w:w="17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0,109</w:t>
            </w:r>
          </w:p>
        </w:tc>
      </w:tr>
    </w:tbl>
    <w:p>
      <w:pPr>
        <w:spacing w:after="180" w:before="40" w:line="240"/>
        <w:jc w:val="left"/>
      </w:pPr>
      <w:r>
        <w:rPr>
          <w:rFonts w:ascii="Times New Roman" w:cs="Times New Roman" w:eastAsia="Times New Roman" w:hAnsi="Times New Roman"/>
          <w:color w:val="3f3f3f"/>
          <w:sz w:val="20"/>
          <w:szCs w:val="20"/>
        </w:rPr>
        <w:t xml:space="preserve">Nota: η²ₚ = eta quadrado parcial (rm-ANOVA, casos completos, n = 20); p por correção de Greenhouse-Geisser; * indica p &lt; 0,05. Última coluna: interação no modelo misto com os 27 atletas.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resultado desenha uma divisão nítida. O momento produz efeito forte e uniforme sobre o eixo físico, pois a fadiga física, a fadiga, o vigor e a perturbação total do humor pioram do pré para o pós de maneira semelhante em qualquer tipo de dia. Já a interação entre momento e tipo de dia concentra-se no eixo afetivo, uma vez que a depressão, a raiva e a perturbação do humor respondem de modo específico ao estímulo, com significância confirmada tanto na análise de casos completos quanto no modelo misto dos 27 atletas. Em síntese, o corpo paga um preço parecido em qualquer sessão, ao passo que o afeto reage conforme o tipo de dia, exatamente a leitura da triangulação, agora sob um único modelo.</w:t>
      </w:r>
    </w:p>
    <w:p>
      <w:pPr>
        <w:keepNext/>
        <w:spacing w:after="90" w:before="200" w:line="360" w:lineRule="auto"/>
      </w:pPr>
      <w:r>
        <w:rPr>
          <w:rFonts w:ascii="Times New Roman" w:cs="Times New Roman" w:eastAsia="Times New Roman" w:hAnsi="Times New Roman"/>
          <w:b/>
          <w:bCs/>
          <w:color w:val="000000"/>
          <w:sz w:val="24"/>
          <w:szCs w:val="24"/>
        </w:rPr>
        <w:t xml:space="preserve">6.2 Dinâmica de painel: persistência e razão de taxas</w:t>
      </w:r>
    </w:p>
    <w:p>
      <w:pPr>
        <w:spacing w:after="0" w:before="0" w:line="360" w:lineRule="auto"/>
        <w:ind w:firstLine="709"/>
        <w:jc w:val="both"/>
      </w:pPr>
      <w:r>
        <w:rPr>
          <w:rFonts w:ascii="Times New Roman" w:cs="Times New Roman" w:eastAsia="Times New Roman" w:hAnsi="Times New Roman"/>
          <w:color w:val="000000"/>
          <w:sz w:val="24"/>
          <w:szCs w:val="24"/>
        </w:rPr>
        <w:t xml:space="preserve">Dois modelos descrevem a dinâmica do estado ao longo dos dias. O primeiro é um autorregressivo de painel de defasagem um, com intercepto aleatório por atleta, cujo coeficiente mede a persistência, isto é, a fração do estado de um dia que se transfere para o dia seguinte. Convém registrar que, em painéis com poucas medidas no tempo, esse coeficiente tende a ser subestimado, razão pela qual a leitura vale pela ordem de grandeza. O segundo é um modelo linear generalizado de Poisson, ajustado por equações de estimação generalizadas com erros robustos por atleta, que trata as subescalas como contagens e informa a razão de taxas por tipo de dia e por momento. A Tabela 20 apresenta a persistência e a Tabela 21 as razões de taxas significativas.</w:t>
      </w:r>
    </w:p>
    <w:p>
      <w:pPr>
        <w:keepNext/>
        <w:spacing w:after="40" w:before="160" w:line="240"/>
        <w:jc w:val="left"/>
      </w:pPr>
      <w:r>
        <w:rPr>
          <w:rFonts w:ascii="Times New Roman" w:cs="Times New Roman" w:eastAsia="Times New Roman" w:hAnsi="Times New Roman"/>
          <w:b/>
          <w:bCs/>
          <w:color w:val="000000"/>
          <w:sz w:val="20"/>
          <w:szCs w:val="20"/>
        </w:rPr>
        <w:t xml:space="preserve">Tabela 20</w:t>
      </w:r>
      <w:r>
        <w:rPr>
          <w:rFonts w:ascii="Times New Roman" w:cs="Times New Roman" w:eastAsia="Times New Roman" w:hAnsi="Times New Roman"/>
          <w:color w:val="000000"/>
          <w:sz w:val="20"/>
          <w:szCs w:val="20"/>
        </w:rPr>
        <w:t xml:space="preserve"> – Persistência de um dia para o seguinte (autorregressivo de painel, defasagem um)</w:t>
      </w:r>
    </w:p>
    <w:tbl>
      <w:tblPr>
        <w:tblW w:type="dxa" w:w="9505"/>
        <w:tblBorders>
          <w:top w:val="single" w:color="000000" w:sz="6"/>
          <w:left w:val="none"/>
          <w:bottom w:val="single" w:color="000000" w:sz="6"/>
          <w:right w:val="none"/>
          <w:insideH w:val="none"/>
          <w:insideV w:val="none"/>
        </w:tblBorders>
      </w:tblPr>
      <w:tblGrid>
        <w:gridCol w:w="2205"/>
        <w:gridCol w:w="1300"/>
        <w:gridCol w:w="2000"/>
        <w:gridCol w:w="1400"/>
        <w:gridCol w:w="1300"/>
        <w:gridCol w:w="1300"/>
      </w:tblGrid>
      <w:tr>
        <w:trPr>
          <w:tblHeader/>
        </w:trPr>
        <w:tc>
          <w:tcPr>
            <w:tcW w:type="dxa" w:w="22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β₁</w:t>
            </w:r>
          </w:p>
        </w:tc>
        <w:tc>
          <w:tcPr>
            <w:tcW w:type="dxa" w:w="2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1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ICC</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Persistência</w:t>
            </w:r>
          </w:p>
        </w:tc>
      </w:tr>
      <w:tr>
        <w:tc>
          <w:tcPr>
            <w:tcW w:type="dxa" w:w="2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+0,13</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[-0,01; 0,26]</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0,062</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fraca</w:t>
            </w:r>
          </w:p>
        </w:tc>
      </w:tr>
      <w:tr>
        <w:tc>
          <w:tcPr>
            <w:tcW w:type="dxa" w:w="2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+0,55</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[0,27; 0,83]</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&lt; 0,001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alta</w:t>
            </w:r>
          </w:p>
        </w:tc>
      </w:tr>
      <w:tr>
        <w:tc>
          <w:tcPr>
            <w:tcW w:type="dxa" w:w="2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+0,27</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[0,12; 0,42]</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&lt; 0,001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0,72</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fraca</w:t>
            </w:r>
          </w:p>
        </w:tc>
      </w:tr>
      <w:tr>
        <w:tc>
          <w:tcPr>
            <w:tcW w:type="dxa" w:w="2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+0,14</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[-0,13; 0,42]</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0,309</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fraca</w:t>
            </w:r>
          </w:p>
        </w:tc>
      </w:tr>
      <w:tr>
        <w:tc>
          <w:tcPr>
            <w:tcW w:type="dxa" w:w="2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+0,23</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[0,04; 0,42]</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0,017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fraca</w:t>
            </w:r>
          </w:p>
        </w:tc>
      </w:tr>
      <w:tr>
        <w:tc>
          <w:tcPr>
            <w:tcW w:type="dxa" w:w="22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+0,16</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 0,32]</w:t>
            </w:r>
          </w:p>
        </w:tc>
        <w:tc>
          <w:tcPr>
            <w:tcW w:type="dxa" w:w="1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0,048</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fraca</w:t>
            </w:r>
          </w:p>
        </w:tc>
      </w:tr>
      <w:tr>
        <w:tc>
          <w:tcPr>
            <w:tcW w:type="dxa" w:w="22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+0,57</w:t>
            </w:r>
          </w:p>
        </w:tc>
        <w:tc>
          <w:tcPr>
            <w:tcW w:type="dxa" w:w="2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[0,06; 1,09]</w:t>
            </w:r>
          </w:p>
        </w:tc>
        <w:tc>
          <w:tcPr>
            <w:tcW w:type="dxa" w:w="1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0,030</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0,30</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alta</w:t>
            </w:r>
          </w:p>
        </w:tc>
      </w:tr>
    </w:tbl>
    <w:p>
      <w:pPr>
        <w:spacing w:after="180" w:before="40" w:line="240"/>
        <w:jc w:val="left"/>
      </w:pPr>
      <w:r>
        <w:rPr>
          <w:rFonts w:ascii="Times New Roman" w:cs="Times New Roman" w:eastAsia="Times New Roman" w:hAnsi="Times New Roman"/>
          <w:color w:val="3f3f3f"/>
          <w:sz w:val="20"/>
          <w:szCs w:val="20"/>
        </w:rPr>
        <w:t xml:space="preserve">Nota: β₁ = coeficiente de defasagem um; ICC = correlação intraclasse do intercepto aleatório. Fonte: Dados da pesquisa (2026).</w:t>
      </w:r>
    </w:p>
    <w:p>
      <w:pPr>
        <w:keepNext/>
        <w:spacing w:after="40" w:before="160" w:line="240"/>
        <w:jc w:val="left"/>
      </w:pPr>
      <w:r>
        <w:rPr>
          <w:rFonts w:ascii="Times New Roman" w:cs="Times New Roman" w:eastAsia="Times New Roman" w:hAnsi="Times New Roman"/>
          <w:b/>
          <w:bCs/>
          <w:color w:val="000000"/>
          <w:sz w:val="20"/>
          <w:szCs w:val="20"/>
        </w:rPr>
        <w:t xml:space="preserve">Tabela 21</w:t>
      </w:r>
      <w:r>
        <w:rPr>
          <w:rFonts w:ascii="Times New Roman" w:cs="Times New Roman" w:eastAsia="Times New Roman" w:hAnsi="Times New Roman"/>
          <w:color w:val="000000"/>
          <w:sz w:val="20"/>
          <w:szCs w:val="20"/>
        </w:rPr>
        <w:t xml:space="preserve"> – Razão de taxas (IRR) do modelo linear generalizado de Poisson (efeitos significativos)</w:t>
      </w:r>
    </w:p>
    <w:tbl>
      <w:tblPr>
        <w:tblW w:type="dxa" w:w="9505"/>
        <w:tblBorders>
          <w:top w:val="single" w:color="000000" w:sz="6"/>
          <w:left w:val="none"/>
          <w:bottom w:val="single" w:color="000000" w:sz="6"/>
          <w:right w:val="none"/>
          <w:insideH w:val="none"/>
          <w:insideV w:val="none"/>
        </w:tblBorders>
      </w:tblPr>
      <w:tblGrid>
        <w:gridCol w:w="2005"/>
        <w:gridCol w:w="2400"/>
        <w:gridCol w:w="1200"/>
        <w:gridCol w:w="2400"/>
        <w:gridCol w:w="1500"/>
      </w:tblGrid>
      <w:tr>
        <w:trPr>
          <w:tblHeader/>
        </w:trPr>
        <w:tc>
          <w:tcPr>
            <w:tcW w:type="dxa" w:w="20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Preditor</w:t>
            </w:r>
          </w:p>
        </w:tc>
        <w:tc>
          <w:tcPr>
            <w:tcW w:type="dxa" w:w="1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IRR</w:t>
            </w:r>
          </w:p>
        </w:tc>
        <w:tc>
          <w:tcPr>
            <w:tcW w:type="dxa" w:w="2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15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Baseline vs Jogo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1,34</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[1,16; 1,55]</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&lt; 0,001</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pós vs pré</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0,83</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[0,73; 0,93]</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0,002</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Baseline vs Jogo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0,75</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[0,59; 0,96]</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0,021</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HIIT vs Jogo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1,13</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[1,01; 1,26]</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0,036</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pós vs pré</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1,27</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[1,07; 1,50]</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0,005</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Baseline vs Jogo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1,58</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[1,12; 2,23]</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0,009</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HIIT vs Jogo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1,53</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[1,27; 1,84]</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&lt; 0,001</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pós vs pré</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1,40</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[1,10; 1,79]</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0,007</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HIIT vs Jogo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1,59</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[1,02; 2,47]</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0,039</w:t>
            </w:r>
          </w:p>
        </w:tc>
      </w:tr>
      <w:tr>
        <w:tc>
          <w:tcPr>
            <w:tcW w:type="dxa" w:w="20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Baseline vs Jogo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3,44</w:t>
            </w:r>
          </w:p>
        </w:tc>
        <w:tc>
          <w:tcPr>
            <w:tcW w:type="dxa" w:w="24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[1,99; 5,94]</w:t>
            </w:r>
          </w:p>
        </w:tc>
        <w:tc>
          <w:tcPr>
            <w:tcW w:type="dxa" w:w="15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&lt; 0,001</w:t>
            </w:r>
          </w:p>
        </w:tc>
      </w:tr>
      <w:tr>
        <w:tc>
          <w:tcPr>
            <w:tcW w:type="dxa" w:w="20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HIIT vs Jogo</w:t>
            </w:r>
          </w:p>
        </w:tc>
        <w:tc>
          <w:tcPr>
            <w:tcW w:type="dxa" w:w="1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1,74</w:t>
            </w:r>
          </w:p>
        </w:tc>
        <w:tc>
          <w:tcPr>
            <w:tcW w:type="dxa" w:w="24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[1,15; 2,63]</w:t>
            </w:r>
          </w:p>
        </w:tc>
        <w:tc>
          <w:tcPr>
            <w:tcW w:type="dxa" w:w="15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0,009</w:t>
            </w:r>
          </w:p>
        </w:tc>
      </w:tr>
    </w:tbl>
    <w:p>
      <w:pPr>
        <w:spacing w:after="180" w:before="40" w:line="240"/>
        <w:jc w:val="left"/>
      </w:pPr>
      <w:r>
        <w:rPr>
          <w:rFonts w:ascii="Times New Roman" w:cs="Times New Roman" w:eastAsia="Times New Roman" w:hAnsi="Times New Roman"/>
          <w:color w:val="3f3f3f"/>
          <w:sz w:val="20"/>
          <w:szCs w:val="20"/>
        </w:rPr>
        <w:t xml:space="preserve">Nota: IRR = razão de taxas (referência: dia de jogo e momento pré); IRR acima de um indica taxa maior que a referência; erros-padrão robustos por atleta.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Os dois modelos reforçam a estrutura de dois eixos. A persistência mais alta cabe à fadiga e à perturbação total do humor, o que traduz o acúmulo do cansaço de um dia para o outro e concorda com o efeito crônico já descrito. O vigor e as dimensões negativas reiniciam mais entre os dias, com persistência baixa. O modelo generalizado, por sua vez, mostra que o eixo afetivo responde de forma específica ao estímulo, pois o HIIT eleva a depressão, a raiva e a confusão em relação ao jogo, ao passo que o momento pós rebaixa o vigor e eleva a fadiga. Contagem, persistência e interação convergem para a mesma conclusão.</w:t>
      </w:r>
    </w:p>
    <w:p>
      <w:pPr>
        <w:keepNext/>
        <w:spacing w:after="90" w:before="200" w:line="360" w:lineRule="auto"/>
      </w:pPr>
      <w:r>
        <w:rPr>
          <w:rFonts w:ascii="Times New Roman" w:cs="Times New Roman" w:eastAsia="Times New Roman" w:hAnsi="Times New Roman"/>
          <w:b/>
          <w:bCs/>
          <w:color w:val="000000"/>
          <w:sz w:val="24"/>
          <w:szCs w:val="24"/>
        </w:rPr>
        <w:t xml:space="preserve">6.3 Segmentação das sessões e resposta à dose de carga</w:t>
      </w:r>
    </w:p>
    <w:p>
      <w:pPr>
        <w:spacing w:after="0" w:before="0" w:line="360" w:lineRule="auto"/>
        <w:ind w:firstLine="709"/>
        <w:jc w:val="both"/>
      </w:pPr>
      <w:r>
        <w:rPr>
          <w:rFonts w:ascii="Times New Roman" w:cs="Times New Roman" w:eastAsia="Times New Roman" w:hAnsi="Times New Roman"/>
          <w:color w:val="000000"/>
          <w:sz w:val="24"/>
          <w:szCs w:val="24"/>
        </w:rPr>
        <w:t xml:space="preserve">A auditoria da estrutura de treino corrigiu um ponto importante. O rótulo único por dia, tal como HIIT, jogo ou força, nomeia apenas a sessão definidora e colapsa os dias que reuniram mais de uma sessão em períodos diferentes. A Tabela 22 recompõe a estrutura real, confirmada na fonte, e informa a duração, a carga acumulada e a carga interna planejada por dia. A carga interna planejada seguiu o método da percepção de esforço da sessão, com o valor do HIIT ancorado no esforço percebido de fato medido e os demais tipos estimados por valores nominais ajustáveis, uma vez que o esforço percebido por sessão não foi coletado nas sessões técnicas, de força e de jogo.</w:t>
      </w:r>
    </w:p>
    <w:p>
      <w:pPr>
        <w:keepNext/>
        <w:spacing w:after="40" w:before="160" w:line="240"/>
        <w:jc w:val="left"/>
      </w:pPr>
      <w:r>
        <w:rPr>
          <w:rFonts w:ascii="Times New Roman" w:cs="Times New Roman" w:eastAsia="Times New Roman" w:hAnsi="Times New Roman"/>
          <w:b/>
          <w:bCs/>
          <w:color w:val="000000"/>
          <w:sz w:val="20"/>
          <w:szCs w:val="20"/>
        </w:rPr>
        <w:t xml:space="preserve">Tabela 22</w:t>
      </w:r>
      <w:r>
        <w:rPr>
          <w:rFonts w:ascii="Times New Roman" w:cs="Times New Roman" w:eastAsia="Times New Roman" w:hAnsi="Times New Roman"/>
          <w:color w:val="000000"/>
          <w:sz w:val="20"/>
          <w:szCs w:val="20"/>
        </w:rPr>
        <w:t xml:space="preserve"> – Estrutura segmentada do microciclo e carga por dia</w:t>
      </w:r>
    </w:p>
    <w:tbl>
      <w:tblPr>
        <w:tblW w:type="dxa" w:w="9505"/>
        <w:tblBorders>
          <w:top w:val="single" w:color="000000" w:sz="6"/>
          <w:left w:val="none"/>
          <w:bottom w:val="single" w:color="000000" w:sz="6"/>
          <w:right w:val="none"/>
          <w:insideH w:val="none"/>
          <w:insideV w:val="none"/>
        </w:tblBorders>
      </w:tblPr>
      <w:tblGrid>
        <w:gridCol w:w="705"/>
        <w:gridCol w:w="1100"/>
        <w:gridCol w:w="900"/>
        <w:gridCol w:w="3400"/>
        <w:gridCol w:w="1000"/>
        <w:gridCol w:w="1100"/>
        <w:gridCol w:w="1300"/>
      </w:tblGrid>
      <w:tr>
        <w:trPr>
          <w:tblHeader/>
        </w:trPr>
        <w:tc>
          <w:tcPr>
            <w:tcW w:type="dxa" w:w="7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Dia</w:t>
            </w:r>
          </w:p>
        </w:tc>
        <w:tc>
          <w:tcPr>
            <w:tcW w:type="dxa" w:w="11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Data</w:t>
            </w:r>
          </w:p>
        </w:tc>
        <w:tc>
          <w:tcPr>
            <w:tcW w:type="dxa" w:w="9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Sessões</w:t>
            </w:r>
          </w:p>
        </w:tc>
        <w:tc>
          <w:tcPr>
            <w:tcW w:type="dxa" w:w="34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Composição real</w:t>
            </w:r>
          </w:p>
        </w:tc>
        <w:tc>
          <w:tcPr>
            <w:tcW w:type="dxa" w:w="1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Horas</w:t>
            </w:r>
          </w:p>
        </w:tc>
        <w:tc>
          <w:tcPr>
            <w:tcW w:type="dxa" w:w="11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Acum.</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sRPE</w:t>
            </w:r>
          </w:p>
        </w:tc>
      </w:tr>
      <w:tr>
        <w:tc>
          <w:tcPr>
            <w:tcW w:type="dxa" w:w="7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D1</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21/04</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w:t>
            </w:r>
          </w:p>
        </w:tc>
        <w:tc>
          <w:tcPr>
            <w:tcW w:type="dxa" w:w="3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Técnico/tático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 h</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 h</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450</w:t>
            </w:r>
          </w:p>
        </w:tc>
      </w:tr>
      <w:tr>
        <w:tc>
          <w:tcPr>
            <w:tcW w:type="dxa" w:w="7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D2</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22/04</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w:t>
            </w:r>
          </w:p>
        </w:tc>
        <w:tc>
          <w:tcPr>
            <w:tcW w:type="dxa" w:w="3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HIIT + Técnico/tático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2,5 h</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4,0 h</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852</w:t>
            </w:r>
          </w:p>
        </w:tc>
      </w:tr>
      <w:tr>
        <w:tc>
          <w:tcPr>
            <w:tcW w:type="dxa" w:w="7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D3</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23/04</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w:t>
            </w:r>
          </w:p>
        </w:tc>
        <w:tc>
          <w:tcPr>
            <w:tcW w:type="dxa" w:w="3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Técnico/tático + Força + Amistoso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4,5 h</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8,5 h</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1770</w:t>
            </w:r>
          </w:p>
        </w:tc>
      </w:tr>
      <w:tr>
        <w:tc>
          <w:tcPr>
            <w:tcW w:type="dxa" w:w="7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D4</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24/04</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w:t>
            </w:r>
          </w:p>
        </w:tc>
        <w:tc>
          <w:tcPr>
            <w:tcW w:type="dxa" w:w="3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HIIT + Técnico/tático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2,5 h</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11,0 h</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852</w:t>
            </w:r>
          </w:p>
        </w:tc>
      </w:tr>
      <w:tr>
        <w:tc>
          <w:tcPr>
            <w:tcW w:type="dxa" w:w="7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D5</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25/04</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w:t>
            </w:r>
          </w:p>
        </w:tc>
        <w:tc>
          <w:tcPr>
            <w:tcW w:type="dxa" w:w="3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Técnico/tático + Força + Amistoso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5,0 h</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16,0 h</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1950</w:t>
            </w:r>
          </w:p>
        </w:tc>
      </w:tr>
      <w:tr>
        <w:tc>
          <w:tcPr>
            <w:tcW w:type="dxa" w:w="705"/>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D6</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26/04</w:t>
            </w:r>
          </w:p>
        </w:tc>
        <w:tc>
          <w:tcPr>
            <w:tcW w:type="dxa" w:w="9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3</w:t>
            </w:r>
          </w:p>
        </w:tc>
        <w:tc>
          <w:tcPr>
            <w:tcW w:type="dxa" w:w="3400"/>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Técnico/tático + Força + Técnico/tático</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5,0 h</w:t>
            </w:r>
          </w:p>
        </w:tc>
        <w:tc>
          <w:tcPr>
            <w:tcW w:type="dxa" w:w="11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21,0 h</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1590</w:t>
            </w:r>
          </w:p>
        </w:tc>
      </w:tr>
      <w:tr>
        <w:tc>
          <w:tcPr>
            <w:tcW w:type="dxa" w:w="705"/>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D7</w:t>
            </w:r>
          </w:p>
        </w:tc>
        <w:tc>
          <w:tcPr>
            <w:tcW w:type="dxa" w:w="11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27/04</w:t>
            </w:r>
          </w:p>
        </w:tc>
        <w:tc>
          <w:tcPr>
            <w:tcW w:type="dxa" w:w="9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w:t>
            </w:r>
          </w:p>
        </w:tc>
        <w:tc>
          <w:tcPr>
            <w:tcW w:type="dxa" w:w="3400"/>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color w:val="000000"/>
                <w:sz w:val="20"/>
                <w:szCs w:val="20"/>
              </w:rPr>
              <w:t xml:space="preserve">HIIT + Técnico/tático</w:t>
            </w:r>
          </w:p>
        </w:tc>
        <w:tc>
          <w:tcPr>
            <w:tcW w:type="dxa" w:w="1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2,0 h</w:t>
            </w:r>
          </w:p>
        </w:tc>
        <w:tc>
          <w:tcPr>
            <w:tcW w:type="dxa" w:w="11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23,0 h</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651</w:t>
            </w:r>
          </w:p>
        </w:tc>
      </w:tr>
    </w:tbl>
    <w:p>
      <w:pPr>
        <w:spacing w:after="180" w:before="40" w:line="240"/>
        <w:jc w:val="left"/>
      </w:pPr>
      <w:r>
        <w:rPr>
          <w:rFonts w:ascii="Times New Roman" w:cs="Times New Roman" w:eastAsia="Times New Roman" w:hAnsi="Times New Roman"/>
          <w:color w:val="3f3f3f"/>
          <w:sz w:val="20"/>
          <w:szCs w:val="20"/>
        </w:rPr>
        <w:t xml:space="preserve">Nota: composição confirmada na fonte; sRPE = carga interna planejada em unidades arbitrárias (duração × esforço percebido nominal); monotonia de Foster = 1,94; strain = 15743.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Sobre essa base contínua, um modelo dose-resposta substitui o rótulo categórico por duas cargas interpretáveis, a saber, a carga aguda do próprio dia e a carga acumulada na semana, com intercepto aleatório por atleta. A Figura 13 e a Tabela 23 apresentam os coeficientes padronizados.</w:t>
      </w:r>
    </w:p>
    <w:p>
      <w:pPr>
        <w:keepNext/>
        <w:spacing w:after="40" w:before="160" w:line="240"/>
        <w:jc w:val="center"/>
      </w:pPr>
      <w:r>
        <w:rPr>
          <w:rFonts w:ascii="Times New Roman" w:cs="Times New Roman" w:eastAsia="Times New Roman" w:hAnsi="Times New Roman"/>
          <w:b/>
          <w:bCs/>
          <w:color w:val="000000"/>
          <w:sz w:val="20"/>
          <w:szCs w:val="20"/>
        </w:rPr>
        <w:t xml:space="preserve">Figura 13</w:t>
      </w:r>
      <w:r>
        <w:rPr>
          <w:rFonts w:ascii="Times New Roman" w:cs="Times New Roman" w:eastAsia="Times New Roman" w:hAnsi="Times New Roman"/>
          <w:color w:val="000000"/>
          <w:sz w:val="20"/>
          <w:szCs w:val="20"/>
        </w:rPr>
        <w:t xml:space="preserve"> – Efeito da carga cumulativa sobre cada dimensão (coeficiente padronizado)</w:t>
      </w:r>
    </w:p>
    <w:p>
      <w:pPr>
        <w:spacing w:after="0" w:before="40"/>
        <w:jc w:val="center"/>
      </w:pPr>
      <w:r>
        <w:drawing>
          <wp:inline distT="0" distB="0" distL="0" distR="0">
            <wp:extent cx="4953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1465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40" w:before="160" w:line="240"/>
        <w:jc w:val="left"/>
      </w:pPr>
      <w:r>
        <w:rPr>
          <w:rFonts w:ascii="Times New Roman" w:cs="Times New Roman" w:eastAsia="Times New Roman" w:hAnsi="Times New Roman"/>
          <w:b/>
          <w:bCs/>
          <w:color w:val="000000"/>
          <w:sz w:val="20"/>
          <w:szCs w:val="20"/>
        </w:rPr>
        <w:t xml:space="preserve">Tabela 23</w:t>
      </w:r>
      <w:r>
        <w:rPr>
          <w:rFonts w:ascii="Times New Roman" w:cs="Times New Roman" w:eastAsia="Times New Roman" w:hAnsi="Times New Roman"/>
          <w:color w:val="000000"/>
          <w:sz w:val="20"/>
          <w:szCs w:val="20"/>
        </w:rPr>
        <w:t xml:space="preserve"> – Modelo dose-resposta: carga aguda e carga cumulativa por dimensão</w:t>
      </w:r>
    </w:p>
    <w:tbl>
      <w:tblPr>
        <w:tblW w:type="dxa" w:w="9505"/>
        <w:tblBorders>
          <w:top w:val="single" w:color="000000" w:sz="6"/>
          <w:left w:val="none"/>
          <w:bottom w:val="single" w:color="000000" w:sz="6"/>
          <w:right w:val="none"/>
          <w:insideH w:val="none"/>
          <w:insideV w:val="none"/>
        </w:tblBorders>
      </w:tblPr>
      <w:tblGrid>
        <w:gridCol w:w="2905"/>
        <w:gridCol w:w="2200"/>
        <w:gridCol w:w="2200"/>
        <w:gridCol w:w="2200"/>
      </w:tblGrid>
      <w:tr>
        <w:trPr>
          <w:tblHeader/>
        </w:trPr>
        <w:tc>
          <w:tcPr>
            <w:tcW w:type="dxa" w:w="29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2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β carga aguda</w:t>
            </w:r>
          </w:p>
        </w:tc>
        <w:tc>
          <w:tcPr>
            <w:tcW w:type="dxa" w:w="2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β carga cumulativa</w:t>
            </w:r>
          </w:p>
        </w:tc>
        <w:tc>
          <w:tcPr>
            <w:tcW w:type="dxa" w:w="2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Domina</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+0,04</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-0,69 *</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cumulativa</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-0,30</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+0,79 *</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cumulativa</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-0,12</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-0,22 *</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cumulativa</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-0,17 *</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+0,13</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aguda</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-0,46 *</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+0,10</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aguda</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-0,16 *</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val="false"/>
                <w:bCs w:val="false"/>
                <w:color w:val="000000"/>
                <w:sz w:val="20"/>
                <w:szCs w:val="20"/>
              </w:rPr>
              <w:t xml:space="preserve">-0,05</w:t>
            </w:r>
          </w:p>
        </w:tc>
        <w:tc>
          <w:tcPr>
            <w:tcW w:type="dxa" w:w="2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aguda</w:t>
            </w:r>
          </w:p>
        </w:tc>
      </w:tr>
      <w:tr>
        <w:tc>
          <w:tcPr>
            <w:tcW w:type="dxa" w:w="29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2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-1,25 *</w:t>
            </w:r>
          </w:p>
        </w:tc>
        <w:tc>
          <w:tcPr>
            <w:tcW w:type="dxa" w:w="2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+1,45 *</w:t>
            </w:r>
          </w:p>
        </w:tc>
        <w:tc>
          <w:tcPr>
            <w:tcW w:type="dxa" w:w="2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cumulativa</w:t>
            </w:r>
          </w:p>
        </w:tc>
      </w:tr>
    </w:tbl>
    <w:p>
      <w:pPr>
        <w:spacing w:after="180" w:before="40" w:line="240"/>
        <w:jc w:val="left"/>
      </w:pPr>
      <w:r>
        <w:rPr>
          <w:rFonts w:ascii="Times New Roman" w:cs="Times New Roman" w:eastAsia="Times New Roman" w:hAnsi="Times New Roman"/>
          <w:color w:val="3f3f3f"/>
          <w:sz w:val="20"/>
          <w:szCs w:val="20"/>
        </w:rPr>
        <w:t xml:space="preserve">Nota: β = coeficiente padronizado por desvio padrão de carga; * indica p &lt; 0,05. Validação: a qualidade total de recuperação cai quando a carga acumulada sobe (ρ de Spearman = -0,41). A razão aguda para crônica não foi calculada, pois a janela crônica de vinte e oito dias não cabe em sete dias.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A leitura dose-resposta esclarece o mecanismo. O eixo físico e energético é governado pela carga cumulativa, pois o vigor cai e a fadiga e a perturbação do humor sobem à medida que a carga se acumula na semana, comportamento coerente com a persistência do modelo autorregressivo. O afeto, em contraste, responde mais ao componente agudo do dia. O ganho da segmentação está justamente nessa separação: em vez de tratar o dia como um rótulo, o modelo passa a ler o volume do dia e o acúmulo, o que distingue a carga aguda do custo crônico.</w:t>
      </w:r>
    </w:p>
    <w:p>
      <w:pPr>
        <w:keepNext/>
        <w:spacing w:after="90" w:before="200" w:line="360" w:lineRule="auto"/>
      </w:pPr>
      <w:r>
        <w:rPr>
          <w:rFonts w:ascii="Times New Roman" w:cs="Times New Roman" w:eastAsia="Times New Roman" w:hAnsi="Times New Roman"/>
          <w:b/>
          <w:bCs/>
          <w:color w:val="000000"/>
          <w:sz w:val="24"/>
          <w:szCs w:val="24"/>
        </w:rPr>
        <w:t xml:space="preserve">6.4 Análise estratificada: dias de HIIT e dias sem HIIT</w:t>
      </w:r>
    </w:p>
    <w:p>
      <w:pPr>
        <w:spacing w:after="0" w:before="0" w:line="360" w:lineRule="auto"/>
        <w:ind w:firstLine="709"/>
        <w:jc w:val="both"/>
      </w:pPr>
      <w:r>
        <w:rPr>
          <w:rFonts w:ascii="Times New Roman" w:cs="Times New Roman" w:eastAsia="Times New Roman" w:hAnsi="Times New Roman"/>
          <w:color w:val="000000"/>
          <w:sz w:val="24"/>
          <w:szCs w:val="24"/>
        </w:rPr>
        <w:t xml:space="preserve">A repetição da bateria dentro de cada estrato separa o que é próprio do HIIT do que é geral ao microciclo. O primeiro estrato reúne os três dias de HIIT e o segundo os quatro dias sem HIIT, e em cada um se compara o primeiro ao último dia com a mesma triangulação de três vias. A Figura 14 confronta os tamanhos de efeito e a Tabela 24 detalha a concordância entre as vias.</w:t>
      </w:r>
    </w:p>
    <w:p>
      <w:pPr>
        <w:keepNext/>
        <w:spacing w:after="40" w:before="160" w:line="240"/>
        <w:jc w:val="center"/>
      </w:pPr>
      <w:r>
        <w:rPr>
          <w:rFonts w:ascii="Times New Roman" w:cs="Times New Roman" w:eastAsia="Times New Roman" w:hAnsi="Times New Roman"/>
          <w:b/>
          <w:bCs/>
          <w:color w:val="000000"/>
          <w:sz w:val="20"/>
          <w:szCs w:val="20"/>
        </w:rPr>
        <w:t xml:space="preserve">Figura 14</w:t>
      </w:r>
      <w:r>
        <w:rPr>
          <w:rFonts w:ascii="Times New Roman" w:cs="Times New Roman" w:eastAsia="Times New Roman" w:hAnsi="Times New Roman"/>
          <w:color w:val="000000"/>
          <w:sz w:val="20"/>
          <w:szCs w:val="20"/>
        </w:rPr>
        <w:t xml:space="preserve"> – Tamanho de efeito do primeiro ao último dia, por estrato de estímulo</w:t>
      </w:r>
    </w:p>
    <w:p>
      <w:pPr>
        <w:spacing w:after="0" w:before="4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33725"/>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40" w:before="160" w:line="240"/>
        <w:jc w:val="left"/>
      </w:pPr>
      <w:r>
        <w:rPr>
          <w:rFonts w:ascii="Times New Roman" w:cs="Times New Roman" w:eastAsia="Times New Roman" w:hAnsi="Times New Roman"/>
          <w:b/>
          <w:bCs/>
          <w:color w:val="000000"/>
          <w:sz w:val="20"/>
          <w:szCs w:val="20"/>
        </w:rPr>
        <w:t xml:space="preserve">Tabela 24</w:t>
      </w:r>
      <w:r>
        <w:rPr>
          <w:rFonts w:ascii="Times New Roman" w:cs="Times New Roman" w:eastAsia="Times New Roman" w:hAnsi="Times New Roman"/>
          <w:color w:val="000000"/>
          <w:sz w:val="20"/>
          <w:szCs w:val="20"/>
        </w:rPr>
        <w:t xml:space="preserve"> – Contraste primeiro para último dia por estrato, com triangulação de três vias</w:t>
      </w:r>
    </w:p>
    <w:tbl>
      <w:tblPr>
        <w:tblW w:type="dxa" w:w="9505"/>
        <w:tblBorders>
          <w:top w:val="single" w:color="000000" w:sz="6"/>
          <w:left w:val="none"/>
          <w:bottom w:val="single" w:color="000000" w:sz="6"/>
          <w:right w:val="none"/>
          <w:insideH w:val="none"/>
          <w:insideV w:val="none"/>
        </w:tblBorders>
      </w:tblPr>
      <w:tblGrid>
        <w:gridCol w:w="1905"/>
        <w:gridCol w:w="1200"/>
        <w:gridCol w:w="1000"/>
        <w:gridCol w:w="1800"/>
        <w:gridCol w:w="1300"/>
        <w:gridCol w:w="1300"/>
        <w:gridCol w:w="1000"/>
      </w:tblGrid>
      <w:tr>
        <w:trPr>
          <w:tblHeader/>
        </w:trPr>
        <w:tc>
          <w:tcPr>
            <w:tcW w:type="dxa" w:w="19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2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Estrato</w:t>
            </w:r>
          </w:p>
        </w:tc>
        <w:tc>
          <w:tcPr>
            <w:tcW w:type="dxa" w:w="1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w:t>
            </w:r>
          </w:p>
        </w:tc>
        <w:tc>
          <w:tcPr>
            <w:tcW w:type="dxa" w:w="1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Wilcoxon</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Permut.</w:t>
            </w:r>
          </w:p>
        </w:tc>
        <w:tc>
          <w:tcPr>
            <w:tcW w:type="dxa" w:w="1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3 vias</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-0,76</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[-1,60; -0,30]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0,005</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0,006</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sem 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-0,57</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[-1,07; -0,17]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0,016</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+0,61</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[0,15; 1,36]</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0,023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0,016</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sem 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+0,39</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[-0,03; 1,01]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0,044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0,093</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3f3f3f"/>
                <w:sz w:val="20"/>
                <w:szCs w:val="20"/>
              </w:rPr>
              <w:t xml:space="preserve">·</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-0,57</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[-1,10; -0,17]</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0,012</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0,020</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sem 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-0,41</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[-0,77; -0,04]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0,073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0,071</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3f3f3f"/>
                <w:sz w:val="20"/>
                <w:szCs w:val="20"/>
              </w:rPr>
              <w:t xml:space="preserve">·</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+0,12</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[-0,46; 0,48]</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1,000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0,662</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sem 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-0,15</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[-0,58; 0,30]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0,426</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0,509</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+0,04</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[-0,68; 0,42]</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0,514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0,877</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sem 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-0,33</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[-0,64; 0,08]</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0,401</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0,153</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-0,15</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[-1,18; 0,23]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0,033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0,612</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3f3f3f"/>
                <w:sz w:val="20"/>
                <w:szCs w:val="20"/>
              </w:rPr>
              <w:t xml:space="preserve">·</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sem 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-0,54</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[-0,88; -0,23]</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0,036</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0,029</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2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HIIT</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+0,33</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[-0,11; 0,74]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0,260</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0,169</w:t>
            </w:r>
          </w:p>
        </w:tc>
        <w:tc>
          <w:tcPr>
            <w:tcW w:type="dxa" w:w="1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r>
        <w:tc>
          <w:tcPr>
            <w:tcW w:type="dxa" w:w="19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2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sem HIIT</w:t>
            </w:r>
          </w:p>
        </w:tc>
        <w:tc>
          <w:tcPr>
            <w:tcW w:type="dxa" w:w="1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+0,08</w:t>
            </w:r>
          </w:p>
        </w:tc>
        <w:tc>
          <w:tcPr>
            <w:tcW w:type="dxa" w:w="1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[-0,32; 0,60]</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0,590</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p = 0,729</w:t>
            </w:r>
          </w:p>
        </w:tc>
        <w:tc>
          <w:tcPr>
            <w:tcW w:type="dxa" w:w="1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1b7a3d"/>
                <w:sz w:val="20"/>
                <w:szCs w:val="20"/>
              </w:rPr>
              <w:t xml:space="preserve">sim</w:t>
            </w:r>
          </w:p>
        </w:tc>
      </w:tr>
    </w:tbl>
    <w:p>
      <w:pPr>
        <w:spacing w:after="180" w:before="40" w:line="240"/>
        <w:jc w:val="left"/>
      </w:pPr>
      <w:r>
        <w:rPr>
          <w:rFonts w:ascii="Times New Roman" w:cs="Times New Roman" w:eastAsia="Times New Roman" w:hAnsi="Times New Roman"/>
          <w:color w:val="3f3f3f"/>
          <w:sz w:val="20"/>
          <w:szCs w:val="20"/>
        </w:rPr>
        <w:t xml:space="preserve">Nota: dz positivo indica escore maior no último dia do estrato; IC 95% por bootstrap; três vias = concordância entre IC, Wilcoxon e permutação.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A comparação revela o que muda ao isolar os estratos. O vigor cai nos dois grupos de dias, com confirmação das três vias, o que torna a queda de energia inespecífica ao estímulo. Já a subida da fadiga triangula apenas nos dias de HIIT, ao passo que nos dias sem HIIT permanece como tendência, o que reforça o HIIT como motor do eixo energia e fadiga. O afeto negativo não se altera do primeiro ao último dia dentro de nenhum estrato, coerente com a leitura de que o afeto separa tipos de dia, e não o curso ao longo deles. Quanto ao perfil dominante, os dias de HIIT concentram o perfil de superfície e os dias sem HIIT concentram o perfil iceberg.</w:t>
      </w:r>
    </w:p>
    <w:p>
      <w:pPr>
        <w:keepNext/>
        <w:spacing w:after="90" w:before="200" w:line="360" w:lineRule="auto"/>
      </w:pPr>
      <w:r>
        <w:rPr>
          <w:rFonts w:ascii="Times New Roman" w:cs="Times New Roman" w:eastAsia="Times New Roman" w:hAnsi="Times New Roman"/>
          <w:b/>
          <w:bCs/>
          <w:color w:val="000000"/>
          <w:sz w:val="24"/>
          <w:szCs w:val="24"/>
        </w:rPr>
        <w:t xml:space="preserve">6.5 Ajuste pelo pico de velocidade e regressões</w:t>
      </w:r>
    </w:p>
    <w:p>
      <w:pPr>
        <w:spacing w:after="0" w:before="0" w:line="360" w:lineRule="auto"/>
        <w:ind w:firstLine="709"/>
        <w:jc w:val="both"/>
      </w:pPr>
      <w:r>
        <w:rPr>
          <w:rFonts w:ascii="Times New Roman" w:cs="Times New Roman" w:eastAsia="Times New Roman" w:hAnsi="Times New Roman"/>
          <w:color w:val="000000"/>
          <w:sz w:val="24"/>
          <w:szCs w:val="24"/>
        </w:rPr>
        <w:t xml:space="preserve">A última camada relaciona a aptidão aeróbia ao humor e reúne as regressões. O ajuste do humor pelo pico de velocidade do T-CAR foi conduzido em duas formas, a linear e a logarítmica, para verificar se a relação apresenta curvatura. A Tabela 25 confronta as duas. A regressão logística de duas caudas, por sua vez, testa quais marcadores discriminam o perfil de risco, e a Tabela 26 apresenta as razões de chance.</w:t>
      </w:r>
    </w:p>
    <w:p>
      <w:pPr>
        <w:keepNext/>
        <w:spacing w:after="40" w:before="160" w:line="240"/>
        <w:jc w:val="left"/>
      </w:pPr>
      <w:r>
        <w:rPr>
          <w:rFonts w:ascii="Times New Roman" w:cs="Times New Roman" w:eastAsia="Times New Roman" w:hAnsi="Times New Roman"/>
          <w:b/>
          <w:bCs/>
          <w:color w:val="000000"/>
          <w:sz w:val="20"/>
          <w:szCs w:val="20"/>
        </w:rPr>
        <w:t xml:space="preserve">Tabela 25</w:t>
      </w:r>
      <w:r>
        <w:rPr>
          <w:rFonts w:ascii="Times New Roman" w:cs="Times New Roman" w:eastAsia="Times New Roman" w:hAnsi="Times New Roman"/>
          <w:color w:val="000000"/>
          <w:sz w:val="20"/>
          <w:szCs w:val="20"/>
        </w:rPr>
        <w:t xml:space="preserve"> – Ajuste do humor pelo pico de velocidade: linear versus logarítmico</w:t>
      </w:r>
    </w:p>
    <w:tbl>
      <w:tblPr>
        <w:tblW w:type="dxa" w:w="9505"/>
        <w:tblBorders>
          <w:top w:val="single" w:color="000000" w:sz="6"/>
          <w:left w:val="none"/>
          <w:bottom w:val="single" w:color="000000" w:sz="6"/>
          <w:right w:val="none"/>
          <w:insideH w:val="none"/>
          <w:insideV w:val="none"/>
        </w:tblBorders>
      </w:tblPr>
      <w:tblGrid>
        <w:gridCol w:w="2505"/>
        <w:gridCol w:w="1600"/>
        <w:gridCol w:w="1800"/>
        <w:gridCol w:w="1800"/>
        <w:gridCol w:w="1800"/>
      </w:tblGrid>
      <w:tr>
        <w:trPr>
          <w:tblHeader/>
        </w:trPr>
        <w:tc>
          <w:tcPr>
            <w:tcW w:type="dxa" w:w="25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6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ρ (PV)</w:t>
            </w:r>
          </w:p>
        </w:tc>
        <w:tc>
          <w:tcPr>
            <w:tcW w:type="dxa" w:w="1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R² linear</w:t>
            </w:r>
          </w:p>
        </w:tc>
        <w:tc>
          <w:tcPr>
            <w:tcW w:type="dxa" w:w="1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R² log</w:t>
            </w:r>
          </w:p>
        </w:tc>
        <w:tc>
          <w:tcPr>
            <w:tcW w:type="dxa" w:w="1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Melhor</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+0,48</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0,17</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0,16</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linear</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-0,39</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0,11</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0,11</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log</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-0,54</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0,22</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0,22</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linear</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TMD</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-0,26</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0,02</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0,01</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linear</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Tensão</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+0,10</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log</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Depressão</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-0,12</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0,02</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0,01</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linear</w:t>
            </w:r>
          </w:p>
        </w:tc>
      </w:tr>
      <w:tr>
        <w:tc>
          <w:tcPr>
            <w:tcW w:type="dxa" w:w="25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Raiva</w:t>
            </w:r>
          </w:p>
        </w:tc>
        <w:tc>
          <w:tcPr>
            <w:tcW w:type="dxa" w:w="16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+0,07</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0,05</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0,04</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linear</w:t>
            </w:r>
          </w:p>
        </w:tc>
      </w:tr>
      <w:tr>
        <w:tc>
          <w:tcPr>
            <w:tcW w:type="dxa" w:w="25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Confusão</w:t>
            </w:r>
          </w:p>
        </w:tc>
        <w:tc>
          <w:tcPr>
            <w:tcW w:type="dxa" w:w="16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+0,12</w:t>
            </w:r>
          </w:p>
        </w:tc>
        <w:tc>
          <w:tcPr>
            <w:tcW w:type="dxa" w:w="1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0,00</w:t>
            </w:r>
          </w:p>
        </w:tc>
        <w:tc>
          <w:tcPr>
            <w:tcW w:type="dxa" w:w="1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log</w:t>
            </w:r>
          </w:p>
        </w:tc>
      </w:tr>
    </w:tbl>
    <w:p>
      <w:pPr>
        <w:spacing w:after="180" w:before="40" w:line="240"/>
        <w:jc w:val="left"/>
      </w:pPr>
      <w:r>
        <w:rPr>
          <w:rFonts w:ascii="Times New Roman" w:cs="Times New Roman" w:eastAsia="Times New Roman" w:hAnsi="Times New Roman"/>
          <w:color w:val="3f3f3f"/>
          <w:sz w:val="20"/>
          <w:szCs w:val="20"/>
        </w:rPr>
        <w:t xml:space="preserve">Nota: ρ = correlação de Spearman entre pico de velocidade e humor (pares casados, n = 25); melhor = ajuste com menor critério de informação de Akaike. Fonte: Dados da pesquisa (2026).</w:t>
      </w:r>
    </w:p>
    <w:p>
      <w:pPr>
        <w:keepNext/>
        <w:spacing w:after="40" w:before="160" w:line="240"/>
        <w:jc w:val="center"/>
      </w:pPr>
      <w:r>
        <w:rPr>
          <w:rFonts w:ascii="Times New Roman" w:cs="Times New Roman" w:eastAsia="Times New Roman" w:hAnsi="Times New Roman"/>
          <w:b/>
          <w:bCs/>
          <w:color w:val="000000"/>
          <w:sz w:val="20"/>
          <w:szCs w:val="20"/>
        </w:rPr>
        <w:t xml:space="preserve">Figura 15</w:t>
      </w:r>
      <w:r>
        <w:rPr>
          <w:rFonts w:ascii="Times New Roman" w:cs="Times New Roman" w:eastAsia="Times New Roman" w:hAnsi="Times New Roman"/>
          <w:color w:val="000000"/>
          <w:sz w:val="20"/>
          <w:szCs w:val="20"/>
        </w:rPr>
        <w:t xml:space="preserve"> – Regressão da fadiga física pelo pico de velocidade, com a reta linear e o limiar de aptidão</w:t>
      </w:r>
    </w:p>
    <w:p>
      <w:pPr>
        <w:spacing w:after="0" w:before="40"/>
        <w:jc w:val="center"/>
      </w:pPr>
      <w:r>
        <w:drawing>
          <wp:inline distT="0" distB="0" distL="0" distR="0">
            <wp:extent cx="4953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91465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spacing w:after="0" w:before="0" w:line="360" w:lineRule="auto"/>
        <w:ind w:firstLine="709"/>
        <w:jc w:val="both"/>
      </w:pPr>
      <w:r>
        <w:rPr>
          <w:rFonts w:ascii="Times New Roman" w:cs="Times New Roman" w:eastAsia="Times New Roman" w:hAnsi="Times New Roman"/>
          <w:color w:val="000000"/>
          <w:sz w:val="24"/>
          <w:szCs w:val="24"/>
        </w:rPr>
        <w:t xml:space="preserve">A Figura 15 ilustra a relação para a fadiga física, a dimensão de vínculo mais forte com a aptidão. A nuvem de pontos desce da esquerda para a direita, o que traduz a correlação negativa, e a reta linear acompanha bem a tendência, sem indício de curvatura que justifique a forma logarítmica. A linha vertical assinala o limiar de aptidão adotado, isto é, a mediana do pico de velocidade, que serve de corte para a análise dicotômica apresentada na sequência.</w:t>
      </w:r>
    </w:p>
    <w:p>
      <w:pPr>
        <w:spacing w:after="0" w:before="0" w:line="360" w:lineRule="auto"/>
        <w:ind w:firstLine="709"/>
        <w:jc w:val="both"/>
      </w:pPr>
      <w:r>
        <w:rPr>
          <w:rFonts w:ascii="Times New Roman" w:cs="Times New Roman" w:eastAsia="Times New Roman" w:hAnsi="Times New Roman"/>
          <w:color w:val="000000"/>
          <w:sz w:val="24"/>
          <w:szCs w:val="24"/>
        </w:rPr>
        <w:t xml:space="preserve">Além do ajuste contínuo, convém examinar o efeito de um limiar de aptidão. Os atletas foram divididos em dois grupos pela mediana do pico de velocidade, e a Figura 16 e a Tabela 27 comparam o humor médio abaixo e acima desse limiar.</w:t>
      </w:r>
    </w:p>
    <w:p>
      <w:pPr>
        <w:keepNext/>
        <w:spacing w:after="40" w:before="160" w:line="240"/>
        <w:jc w:val="center"/>
      </w:pPr>
      <w:r>
        <w:rPr>
          <w:rFonts w:ascii="Times New Roman" w:cs="Times New Roman" w:eastAsia="Times New Roman" w:hAnsi="Times New Roman"/>
          <w:b/>
          <w:bCs/>
          <w:color w:val="000000"/>
          <w:sz w:val="20"/>
          <w:szCs w:val="20"/>
        </w:rPr>
        <w:t xml:space="preserve">Figura 16</w:t>
      </w:r>
      <w:r>
        <w:rPr>
          <w:rFonts w:ascii="Times New Roman" w:cs="Times New Roman" w:eastAsia="Times New Roman" w:hAnsi="Times New Roman"/>
          <w:color w:val="000000"/>
          <w:sz w:val="20"/>
          <w:szCs w:val="20"/>
        </w:rPr>
        <w:t xml:space="preserve"> – Humor médio dos atletas abaixo e acima do limiar de aptidão</w:t>
      </w:r>
    </w:p>
    <w:p>
      <w:pPr>
        <w:spacing w:after="0" w:before="40"/>
        <w:jc w:val="center"/>
      </w:pPr>
      <w:r>
        <w:drawing>
          <wp:inline distT="0" distB="0" distL="0" distR="0">
            <wp:extent cx="4953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914650"/>
                    </a:xfrm>
                    <a:prstGeom prst="rect">
                      <a:avLst/>
                    </a:prstGeom>
                  </pic:spPr>
                </pic:pic>
              </a:graphicData>
            </a:graphic>
          </wp:inline>
        </w:drawing>
      </w:r>
    </w:p>
    <w:p>
      <w:pPr>
        <w:spacing w:after="180" w:before="40" w:line="240"/>
        <w:jc w:val="center"/>
      </w:pPr>
      <w:r>
        <w:rPr>
          <w:rFonts w:ascii="Times New Roman" w:cs="Times New Roman" w:eastAsia="Times New Roman" w:hAnsi="Times New Roman"/>
          <w:color w:val="3f3f3f"/>
          <w:sz w:val="20"/>
          <w:szCs w:val="20"/>
        </w:rPr>
        <w:t xml:space="preserve">Fonte: Elaborado pelos autores (2026).</w:t>
      </w:r>
    </w:p>
    <w:p>
      <w:pPr>
        <w:keepNext/>
        <w:spacing w:after="40" w:before="160" w:line="240"/>
        <w:jc w:val="left"/>
      </w:pPr>
      <w:r>
        <w:rPr>
          <w:rFonts w:ascii="Times New Roman" w:cs="Times New Roman" w:eastAsia="Times New Roman" w:hAnsi="Times New Roman"/>
          <w:b/>
          <w:bCs/>
          <w:color w:val="000000"/>
          <w:sz w:val="20"/>
          <w:szCs w:val="20"/>
        </w:rPr>
        <w:t xml:space="preserve">Tabela 27</w:t>
      </w:r>
      <w:r>
        <w:rPr>
          <w:rFonts w:ascii="Times New Roman" w:cs="Times New Roman" w:eastAsia="Times New Roman" w:hAnsi="Times New Roman"/>
          <w:color w:val="000000"/>
          <w:sz w:val="20"/>
          <w:szCs w:val="20"/>
        </w:rPr>
        <w:t xml:space="preserve"> – Humor abaixo e acima do limiar do pico de velocidade</w:t>
      </w:r>
    </w:p>
    <w:tbl>
      <w:tblPr>
        <w:tblW w:type="dxa" w:w="9505"/>
        <w:tblBorders>
          <w:top w:val="single" w:color="000000" w:sz="6"/>
          <w:left w:val="none"/>
          <w:bottom w:val="single" w:color="000000" w:sz="6"/>
          <w:right w:val="none"/>
          <w:insideH w:val="none"/>
          <w:insideV w:val="none"/>
        </w:tblBorders>
      </w:tblPr>
      <w:tblGrid>
        <w:gridCol w:w="2905"/>
        <w:gridCol w:w="1650"/>
        <w:gridCol w:w="1650"/>
        <w:gridCol w:w="1300"/>
        <w:gridCol w:w="2000"/>
      </w:tblGrid>
      <w:tr>
        <w:trPr>
          <w:tblHeader/>
        </w:trPr>
        <w:tc>
          <w:tcPr>
            <w:tcW w:type="dxa" w:w="29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Dimensão</w:t>
            </w:r>
          </w:p>
        </w:tc>
        <w:tc>
          <w:tcPr>
            <w:tcW w:type="dxa" w:w="16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Abaixo do limiar</w:t>
            </w:r>
          </w:p>
        </w:tc>
        <w:tc>
          <w:tcPr>
            <w:tcW w:type="dxa" w:w="165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Acima do limiar</w:t>
            </w:r>
          </w:p>
        </w:tc>
        <w:tc>
          <w:tcPr>
            <w:tcW w:type="dxa" w:w="13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dz</w:t>
            </w:r>
          </w:p>
        </w:tc>
        <w:tc>
          <w:tcPr>
            <w:tcW w:type="dxa" w:w="2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Vigor</w:t>
            </w:r>
          </w:p>
        </w:tc>
        <w:tc>
          <w:tcPr>
            <w:tcW w:type="dxa" w:w="16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4,55</w:t>
            </w:r>
          </w:p>
        </w:tc>
        <w:tc>
          <w:tcPr>
            <w:tcW w:type="dxa" w:w="16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6,34</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+0,76</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0,061</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6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6,65</w:t>
            </w:r>
          </w:p>
        </w:tc>
        <w:tc>
          <w:tcPr>
            <w:tcW w:type="dxa" w:w="16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4,26</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-0,80</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0,068</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 física</w:t>
            </w:r>
          </w:p>
        </w:tc>
        <w:tc>
          <w:tcPr>
            <w:tcW w:type="dxa" w:w="16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6,60</w:t>
            </w:r>
          </w:p>
        </w:tc>
        <w:tc>
          <w:tcPr>
            <w:tcW w:type="dxa" w:w="165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5,42</w:t>
            </w:r>
          </w:p>
        </w:tc>
        <w:tc>
          <w:tcPr>
            <w:tcW w:type="dxa" w:w="13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-0,77</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0,036</w:t>
            </w:r>
          </w:p>
        </w:tc>
      </w:tr>
      <w:tr>
        <w:tc>
          <w:tcPr>
            <w:tcW w:type="dxa" w:w="29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PTH</w:t>
            </w:r>
          </w:p>
        </w:tc>
        <w:tc>
          <w:tcPr>
            <w:tcW w:type="dxa" w:w="16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5,26</w:t>
            </w:r>
          </w:p>
        </w:tc>
        <w:tc>
          <w:tcPr>
            <w:tcW w:type="dxa" w:w="165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4,11</w:t>
            </w:r>
          </w:p>
        </w:tc>
        <w:tc>
          <w:tcPr>
            <w:tcW w:type="dxa" w:w="13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-0,48</w:t>
            </w:r>
          </w:p>
        </w:tc>
        <w:tc>
          <w:tcPr>
            <w:tcW w:type="dxa" w:w="2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0,183</w:t>
            </w:r>
          </w:p>
        </w:tc>
      </w:tr>
    </w:tbl>
    <w:p>
      <w:pPr>
        <w:spacing w:after="180" w:before="40" w:line="240"/>
        <w:jc w:val="left"/>
      </w:pPr>
      <w:r>
        <w:rPr>
          <w:rFonts w:ascii="Times New Roman" w:cs="Times New Roman" w:eastAsia="Times New Roman" w:hAnsi="Times New Roman"/>
          <w:color w:val="3f3f3f"/>
          <w:sz w:val="20"/>
          <w:szCs w:val="20"/>
        </w:rPr>
        <w:t xml:space="preserve">Nota: limiar = mediana do pico de velocidade (14,9 km/h); dz = tamanho de efeito do contraste entre os grupos acima e abaixo do limiar.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 padrão do limiar confirma a leitura contínua. Acima do limiar de aptidão, o vigor apresenta-se maior e a fadiga e a fadiga física menores, comportamento coerente com a aptidão aeróbia na função de amortecedor do custo físico. Apenas a fadiga física alcança significância isolada, ainda que as demais dimensões físicas caminhem na mesma direção, e o padrão permanece monotônico ao longo dos três tercis de pico de velocidade.</w:t>
      </w:r>
    </w:p>
    <w:p>
      <w:pPr>
        <w:keepNext/>
        <w:spacing w:after="40" w:before="160" w:line="240"/>
        <w:jc w:val="left"/>
      </w:pPr>
      <w:r>
        <w:rPr>
          <w:rFonts w:ascii="Times New Roman" w:cs="Times New Roman" w:eastAsia="Times New Roman" w:hAnsi="Times New Roman"/>
          <w:b/>
          <w:bCs/>
          <w:color w:val="000000"/>
          <w:sz w:val="20"/>
          <w:szCs w:val="20"/>
        </w:rPr>
        <w:t xml:space="preserve">Tabela 26</w:t>
      </w:r>
      <w:r>
        <w:rPr>
          <w:rFonts w:ascii="Times New Roman" w:cs="Times New Roman" w:eastAsia="Times New Roman" w:hAnsi="Times New Roman"/>
          <w:color w:val="000000"/>
          <w:sz w:val="20"/>
          <w:szCs w:val="20"/>
        </w:rPr>
        <w:t xml:space="preserve"> – Regressão logística de duas caudas: risco de perfil por marcador</w:t>
      </w:r>
    </w:p>
    <w:tbl>
      <w:tblPr>
        <w:tblW w:type="dxa" w:w="9505"/>
        <w:tblBorders>
          <w:top w:val="single" w:color="000000" w:sz="6"/>
          <w:left w:val="none"/>
          <w:bottom w:val="single" w:color="000000" w:sz="6"/>
          <w:right w:val="none"/>
          <w:insideH w:val="none"/>
          <w:insideV w:val="none"/>
        </w:tblBorders>
      </w:tblPr>
      <w:tblGrid>
        <w:gridCol w:w="2905"/>
        <w:gridCol w:w="1800"/>
        <w:gridCol w:w="2800"/>
        <w:gridCol w:w="2000"/>
      </w:tblGrid>
      <w:tr>
        <w:trPr>
          <w:tblHeader/>
        </w:trPr>
        <w:tc>
          <w:tcPr>
            <w:tcW w:type="dxa" w:w="2905"/>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Marcador</w:t>
            </w:r>
          </w:p>
        </w:tc>
        <w:tc>
          <w:tcPr>
            <w:tcW w:type="dxa" w:w="1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Razão de chance</w:t>
            </w:r>
          </w:p>
        </w:tc>
        <w:tc>
          <w:tcPr>
            <w:tcW w:type="dxa" w:w="28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IC 95%</w:t>
            </w:r>
          </w:p>
        </w:tc>
        <w:tc>
          <w:tcPr>
            <w:tcW w:type="dxa" w:w="2000"/>
            <w:tcBorders>
              <w:top w:val="single" w:color="000000" w:sz="6"/>
              <w:left w:val="none"/>
              <w:bottom w:val="single" w:color="000000" w:sz="6"/>
              <w:right w:val="none"/>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p (bicaudal)</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Epworth</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1,52</w:t>
            </w:r>
          </w:p>
        </w:tc>
        <w:tc>
          <w:tcPr>
            <w:tcW w:type="dxa" w:w="2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[0,51; 4,59]</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0,455</w:t>
            </w:r>
          </w:p>
        </w:tc>
      </w:tr>
      <w:tr>
        <w:tc>
          <w:tcPr>
            <w:tcW w:type="dxa" w:w="2905"/>
            <w:tcBorders>
              <w:top w:val="none"/>
              <w:left w:val="none"/>
              <w:bottom w:val="none"/>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PSS</w:t>
            </w:r>
          </w:p>
        </w:tc>
        <w:tc>
          <w:tcPr>
            <w:tcW w:type="dxa" w:w="1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0,91</w:t>
            </w:r>
          </w:p>
        </w:tc>
        <w:tc>
          <w:tcPr>
            <w:tcW w:type="dxa" w:w="28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[0,33; 2,48]</w:t>
            </w:r>
          </w:p>
        </w:tc>
        <w:tc>
          <w:tcPr>
            <w:tcW w:type="dxa" w:w="2000"/>
            <w:tcBorders>
              <w:top w:val="none"/>
              <w:left w:val="none"/>
              <w:bottom w:val="none"/>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3f3f3f"/>
                <w:sz w:val="20"/>
                <w:szCs w:val="20"/>
              </w:rPr>
              <w:t xml:space="preserve">p = 0,845</w:t>
            </w:r>
          </w:p>
        </w:tc>
      </w:tr>
      <w:tr>
        <w:tc>
          <w:tcPr>
            <w:tcW w:type="dxa" w:w="2905"/>
            <w:tcBorders>
              <w:top w:val="none"/>
              <w:left w:val="none"/>
              <w:bottom w:val="single" w:color="000000" w:sz="6"/>
              <w:right w:val="none"/>
            </w:tcBorders>
            <w:tcMar>
              <w:top w:type="dxa" w:w="30"/>
              <w:left w:type="dxa" w:w="70"/>
              <w:bottom w:type="dxa" w:w="30"/>
              <w:right w:type="dxa" w:w="70"/>
            </w:tcMar>
            <w:vAlign w:val="center"/>
          </w:tcPr>
          <w:p>
            <w:pPr>
              <w:spacing w:after="0" w:line="240"/>
              <w:jc w:val="left"/>
            </w:pPr>
            <w:r>
              <w:rPr>
                <w:rFonts w:ascii="Times New Roman" w:cs="Times New Roman" w:eastAsia="Times New Roman" w:hAnsi="Times New Roman"/>
                <w:b/>
                <w:bCs/>
                <w:color w:val="000000"/>
                <w:sz w:val="20"/>
                <w:szCs w:val="20"/>
              </w:rPr>
              <w:t xml:space="preserve">Fadiga</w:t>
            </w:r>
          </w:p>
        </w:tc>
        <w:tc>
          <w:tcPr>
            <w:tcW w:type="dxa" w:w="1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b/>
                <w:bCs/>
                <w:color w:val="000000"/>
                <w:sz w:val="20"/>
                <w:szCs w:val="20"/>
              </w:rPr>
              <w:t xml:space="preserve">5,31</w:t>
            </w:r>
          </w:p>
        </w:tc>
        <w:tc>
          <w:tcPr>
            <w:tcW w:type="dxa" w:w="28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000000"/>
                <w:sz w:val="20"/>
                <w:szCs w:val="20"/>
              </w:rPr>
              <w:t xml:space="preserve">[1,00; 28,01]</w:t>
            </w:r>
          </w:p>
        </w:tc>
        <w:tc>
          <w:tcPr>
            <w:tcW w:type="dxa" w:w="2000"/>
            <w:tcBorders>
              <w:top w:val="none"/>
              <w:left w:val="none"/>
              <w:bottom w:val="single" w:color="000000" w:sz="6"/>
              <w:right w:val="none"/>
            </w:tcBorders>
            <w:tcMar>
              <w:top w:type="dxa" w:w="30"/>
              <w:left w:type="dxa" w:w="70"/>
              <w:bottom w:type="dxa" w:w="30"/>
              <w:right w:type="dxa" w:w="70"/>
            </w:tcMar>
            <w:vAlign w:val="center"/>
          </w:tcPr>
          <w:p>
            <w:pPr>
              <w:spacing w:after="0" w:line="240"/>
              <w:jc w:val="center"/>
            </w:pPr>
            <w:r>
              <w:rPr>
                <w:rFonts w:ascii="Times New Roman" w:cs="Times New Roman" w:eastAsia="Times New Roman" w:hAnsi="Times New Roman"/>
                <w:color w:val="1b7a3d"/>
                <w:sz w:val="20"/>
                <w:szCs w:val="20"/>
              </w:rPr>
              <w:t xml:space="preserve">p = 0,049</w:t>
            </w:r>
          </w:p>
        </w:tc>
      </w:tr>
    </w:tbl>
    <w:p>
      <w:pPr>
        <w:spacing w:after="180" w:before="40" w:line="240"/>
        <w:jc w:val="left"/>
      </w:pPr>
      <w:r>
        <w:rPr>
          <w:rFonts w:ascii="Times New Roman" w:cs="Times New Roman" w:eastAsia="Times New Roman" w:hAnsi="Times New Roman"/>
          <w:color w:val="3f3f3f"/>
          <w:sz w:val="20"/>
          <w:szCs w:val="20"/>
        </w:rPr>
        <w:t xml:space="preserve">Nota: razão de chance por desvio padrão do marcador; p de duas caudas; modelo com Epworth, PSS e fadiga padronizados. Fonte: Dados da pesquisa (2026).</w:t>
      </w:r>
    </w:p>
    <w:p>
      <w:pPr>
        <w:spacing w:after="0" w:before="0" w:line="360" w:lineRule="auto"/>
        <w:ind w:firstLine="709"/>
        <w:jc w:val="both"/>
      </w:pPr>
      <w:r>
        <w:rPr>
          <w:rFonts w:ascii="Times New Roman" w:cs="Times New Roman" w:eastAsia="Times New Roman" w:hAnsi="Times New Roman"/>
          <w:color w:val="000000"/>
          <w:sz w:val="24"/>
          <w:szCs w:val="24"/>
        </w:rPr>
        <w:t xml:space="preserve">Os dois procedimentos fecham o quadro com coerência. O ajuste pelo pico de velocidade mostra-se essencialmente linear, uma vez que a forma logarítmica não melhora a explicação em nenhuma dimensão, e a relação mais forte confirma-se na fadiga física, que decresce de modo linear conforme a aptidão aeróbia aumenta. A regressão logística, por seu turno, aponta a fadiga como o marcador que discrimina o perfil de risco, ao passo que a sonolência e o estresse percebido não distinguem os grupos. O conjunto reitera a mensagem que atravessa todo o estudo: o sinal reside no eixo da energia e da fadiga, tanto para dosar a carga quanto para sinalizar o risco.</w:t>
      </w:r>
    </w:p>
    <w:p>
      <w:pPr>
        <w:keepNext/>
        <w:spacing w:after="140" w:before="300" w:line="360" w:lineRule="auto"/>
      </w:pPr>
      <w:r>
        <w:rPr>
          <w:rFonts w:ascii="Times New Roman" w:cs="Times New Roman" w:eastAsia="Times New Roman" w:hAnsi="Times New Roman"/>
          <w:b/>
          <w:bCs/>
          <w:color w:val="000000"/>
          <w:sz w:val="24"/>
          <w:szCs w:val="24"/>
        </w:rPr>
        <w:t xml:space="preserve">7 CONSIDERAÇÕES FINAIS</w:t>
      </w:r>
    </w:p>
    <w:p>
      <w:pPr>
        <w:spacing w:after="0" w:before="0" w:line="360" w:lineRule="auto"/>
        <w:ind w:firstLine="709"/>
        <w:jc w:val="both"/>
      </w:pPr>
      <w:r>
        <w:rPr>
          <w:rFonts w:ascii="Times New Roman" w:cs="Times New Roman" w:eastAsia="Times New Roman" w:hAnsi="Times New Roman"/>
          <w:color w:val="000000"/>
          <w:sz w:val="24"/>
          <w:szCs w:val="24"/>
        </w:rPr>
        <w:t xml:space="preserve">O estudo descreveu, com riqueza de detalhes, o comportamento do humor, da sonolência e do estresse ao longo de um microciclo de pré-temporada e identificou quais medidas respondem a cada estímulo. A triangulação metodológica revelou-se fértil, pois permitiu distinguir os achados robustos das meras tendências e organizar as evidências em três eixos de leitura direta para a prática esportiva.</w:t>
      </w:r>
    </w:p>
    <w:p>
      <w:pPr>
        <w:spacing w:after="0" w:before="0" w:line="360" w:lineRule="auto"/>
        <w:ind w:firstLine="709"/>
        <w:jc w:val="both"/>
      </w:pPr>
      <w:r>
        <w:rPr>
          <w:rFonts w:ascii="Times New Roman" w:cs="Times New Roman" w:eastAsia="Times New Roman" w:hAnsi="Times New Roman"/>
          <w:color w:val="000000"/>
          <w:sz w:val="24"/>
          <w:szCs w:val="24"/>
        </w:rPr>
        <w:t xml:space="preserve">Três cautelas delimitam o alcance das conclusões. Em primeiro lugar, o delineamento de grupo único, sem controle, confere às leituras caráter descritivo e de rastreio, e não causal. Em segundo lugar, o pequeno número de contrastes que sobrevivem à correção por comparações múltiplas recomenda prudência, de modo que os padrões afetivos valem como tendência convergente. Em terceiro lugar, a associação entre perfis de risco e desfechos clínicos de lesão ou de saúde mental permanece plausível à luz da literatura, embora não tenha sido validada neste microciclo, que não dispõe de desfechos vinculados.</w:t>
      </w:r>
    </w:p>
    <w:p>
      <w:pPr>
        <w:spacing w:after="0" w:before="0" w:line="360" w:lineRule="auto"/>
        <w:ind w:firstLine="709"/>
        <w:jc w:val="both"/>
      </w:pPr>
      <w:r>
        <w:rPr>
          <w:rFonts w:ascii="Times New Roman" w:cs="Times New Roman" w:eastAsia="Times New Roman" w:hAnsi="Times New Roman"/>
          <w:color w:val="000000"/>
          <w:sz w:val="24"/>
          <w:szCs w:val="24"/>
        </w:rPr>
        <w:t xml:space="preserve">Longe de fragilizar o trabalho, essas ressalvas delimitam com honestidade o que a evidência sustenta. O estudo demonstra a viabilidade de um rastreio sensível e reprodutível, capaz de apontar quais variáveis respondem a cada estímulo, quando o risco se concentra e quais atletas merecem acompanhamento individual. O passo seguinte consiste em um estudo prospectivo, com registro sistemático de lesões e de indicadores de saúde mental, que converta a viabilidade demonstrada em validação de maior alcance.</w:t>
      </w:r>
    </w:p>
    <w:p>
      <w:pPr>
        <w:keepNext/>
        <w:spacing w:after="140" w:before="300" w:line="360" w:lineRule="auto"/>
      </w:pPr>
      <w:r>
        <w:rPr>
          <w:rFonts w:ascii="Times New Roman" w:cs="Times New Roman" w:eastAsia="Times New Roman" w:hAnsi="Times New Roman"/>
          <w:b/>
          <w:bCs/>
          <w:color w:val="000000"/>
          <w:sz w:val="24"/>
          <w:szCs w:val="24"/>
        </w:rPr>
        <w:t xml:space="preserve">REFERÊNCIAS</w:t>
      </w:r>
    </w:p>
    <w:p>
      <w:pPr>
        <w:spacing w:after="120" w:before="0" w:line="360" w:lineRule="auto"/>
        <w:jc w:val="left"/>
      </w:pPr>
      <w:r>
        <w:rPr>
          <w:rFonts w:ascii="Times New Roman" w:cs="Times New Roman" w:eastAsia="Times New Roman" w:hAnsi="Times New Roman"/>
          <w:color w:val="000000"/>
          <w:sz w:val="24"/>
          <w:szCs w:val="24"/>
        </w:rPr>
        <w:t xml:space="preserve">HAN, C.; PARSONS-SMITH, R. L.; TERRY, P. C. Mood profiling in Singapore: cross-cultural validation and potential applications of mood profile clusters. Frontiers in Psychology, v. 11, art. 665, 2020.</w:t>
      </w:r>
    </w:p>
    <w:p>
      <w:pPr>
        <w:spacing w:after="120" w:before="0" w:line="360" w:lineRule="auto"/>
        <w:jc w:val="left"/>
      </w:pPr>
      <w:r>
        <w:rPr>
          <w:rFonts w:ascii="Times New Roman" w:cs="Times New Roman" w:eastAsia="Times New Roman" w:hAnsi="Times New Roman"/>
          <w:color w:val="000000"/>
          <w:sz w:val="24"/>
          <w:szCs w:val="24"/>
        </w:rPr>
        <w:t xml:space="preserve">MORGAN, W. P. Selected psychological factors limiting performance: a mental health model. In: CLARKE, D. H.; ECKERT, H. M. (Ed.). Limits of human performance. Champaign: Human Kinetics, 1985. p. 70-80.</w:t>
      </w:r>
    </w:p>
    <w:p>
      <w:pPr>
        <w:spacing w:after="120" w:before="0" w:line="360" w:lineRule="auto"/>
        <w:jc w:val="left"/>
      </w:pPr>
      <w:r>
        <w:rPr>
          <w:rFonts w:ascii="Times New Roman" w:cs="Times New Roman" w:eastAsia="Times New Roman" w:hAnsi="Times New Roman"/>
          <w:color w:val="000000"/>
          <w:sz w:val="24"/>
          <w:szCs w:val="24"/>
        </w:rPr>
        <w:t xml:space="preserve">PARSONS-SMITH, R. L.; TERRY, P. C.; MACHIN, M. A. Identification and description of novel mood profile clusters. Frontiers in Psychology, v. 8, art. 1958, 2017.</w:t>
      </w:r>
    </w:p>
    <w:p>
      <w:pPr>
        <w:spacing w:after="120" w:before="0" w:line="360" w:lineRule="auto"/>
        <w:jc w:val="left"/>
      </w:pPr>
      <w:r>
        <w:rPr>
          <w:rFonts w:ascii="Times New Roman" w:cs="Times New Roman" w:eastAsia="Times New Roman" w:hAnsi="Times New Roman"/>
          <w:color w:val="000000"/>
          <w:sz w:val="24"/>
          <w:szCs w:val="24"/>
        </w:rPr>
        <w:t xml:space="preserve">ROHLFS, I. C. P. M. et al. A Escala de Humor de Brunel (Brums): instrumento para detecção precoce da síndrome do excesso de treinamento. Revista Brasileira de Medicina do Esporte, v. 14, n. 3, p. 176-181, 2008.</w:t>
      </w:r>
    </w:p>
    <w:p>
      <w:pPr>
        <w:spacing w:after="120" w:before="0" w:line="360" w:lineRule="auto"/>
        <w:jc w:val="left"/>
      </w:pPr>
      <w:r>
        <w:rPr>
          <w:rFonts w:ascii="Times New Roman" w:cs="Times New Roman" w:eastAsia="Times New Roman" w:hAnsi="Times New Roman"/>
          <w:color w:val="000000"/>
          <w:sz w:val="24"/>
          <w:szCs w:val="24"/>
        </w:rPr>
        <w:t xml:space="preserve">TERRY, P. C.; LANE, A. M.; FOGARTY, G. J. Construct validity of the Profile of Mood States-Adolescents for use with adults. Psychology of Sport and Exercise, v. 4, n. 2, p. 125-139, 2003.</w:t>
      </w:r>
    </w:p>
    <w:p>
      <w:pPr>
        <w:pBdr>
          <w:top w:val="single" w:color="999999" w:sz="4"/>
        </w:pBdr>
        <w:spacing w:after="60" w:before="200"/>
      </w:pPr>
    </w:p>
    <w:p>
      <w:pPr>
        <w:spacing w:after="0" w:before="0" w:line="360" w:lineRule="auto"/>
        <w:jc w:val="both"/>
      </w:pPr>
      <w:r>
        <w:rPr>
          <w:rFonts w:ascii="Times New Roman" w:cs="Times New Roman" w:eastAsia="Times New Roman" w:hAnsi="Times New Roman"/>
          <w:color w:val="3f3f3f"/>
          <w:sz w:val="20"/>
          <w:szCs w:val="20"/>
        </w:rPr>
        <w:t xml:space="preserve">Nota técnica: todos os números derivam da camada gold de um repositório reprodutível (Delta Lake e DuckDB), com sementes fixas e verificação de determinismo, idempotência e reconciliação. As mesmas tabelas alimentam este documento e a aba de triangulação do painel interativo.</w:t>
      </w:r>
    </w:p>
    <w:sectPr>
      <w:footerReference w:type="default" r:id="rId7"/>
      <w:pgSz w:w="12240" w:h="15840"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f3f3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5b9219e440abe41cbbd9ce6c3b173ee85419d8.png"/><Relationship Id="rId9" Type="http://schemas.openxmlformats.org/officeDocument/2006/relationships/image" Target="media/a6415b4a06ee1bd2b098c48288b183e0368413c4.png"/><Relationship Id="rId10" Type="http://schemas.openxmlformats.org/officeDocument/2006/relationships/image" Target="media/6af388e976ec0942759538e204dcb10c67fae2e7.png"/><Relationship Id="rId11" Type="http://schemas.openxmlformats.org/officeDocument/2006/relationships/image" Target="media/121dfb88408543f82cf96e34658a6d5ac83b06e2.png"/><Relationship Id="rId12" Type="http://schemas.openxmlformats.org/officeDocument/2006/relationships/image" Target="media/1c963b5e1f0adf515fcbb0e11bc7210a7a16de67.png"/><Relationship Id="rId13" Type="http://schemas.openxmlformats.org/officeDocument/2006/relationships/image" Target="media/b1d88f8a56191ac42e73c4f84cee2fc7fe088554.png"/><Relationship Id="rId14" Type="http://schemas.openxmlformats.org/officeDocument/2006/relationships/image" Target="media/91daa969faced6131d603a054f60bee18ec7b8af.png"/><Relationship Id="rId15" Type="http://schemas.openxmlformats.org/officeDocument/2006/relationships/image" Target="media/4d238b513aca9380d2d0d024b768b0e0ffe44220.png"/><Relationship Id="rId16" Type="http://schemas.openxmlformats.org/officeDocument/2006/relationships/image" Target="media/734b3d3867b26f43410c173213115671610a98f7.png"/><Relationship Id="rId17" Type="http://schemas.openxmlformats.org/officeDocument/2006/relationships/image" Target="media/bfbfb4c87fc6d8ad407a5f6847b4772813ac7198.png"/><Relationship Id="rId18" Type="http://schemas.openxmlformats.org/officeDocument/2006/relationships/image" Target="media/63371de3f06bc581f0f541081e7c387d4921e508.png"/><Relationship Id="rId19" Type="http://schemas.openxmlformats.org/officeDocument/2006/relationships/image" Target="media/436052fc572bb5e44fbb65a7adff4dae0d929c0a.png"/><Relationship Id="rId20" Type="http://schemas.openxmlformats.org/officeDocument/2006/relationships/image" Target="media/897c1f6d3741a05e6d8b61a570eac47049a5d283.png"/><Relationship Id="rId21" Type="http://schemas.openxmlformats.org/officeDocument/2006/relationships/image" Target="media/1477ea84e021e8f0190af63275b134070ec988dc.png"/><Relationship Id="rId22" Type="http://schemas.openxmlformats.org/officeDocument/2006/relationships/image" Target="media/88ef83933b3da28991236bfd924df56cd0bbf76f.png"/><Relationship Id="rId23" Type="http://schemas.openxmlformats.org/officeDocument/2006/relationships/image" Target="media/3dd01ead4cd83c99f9bf21b21e40593b74b01ca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descritiva e triangulação (BRUMS)</dc:title>
  <dc:creator>Monitoramento BRUMS — Handebol</dc:creator>
  <cp:lastModifiedBy>Un-named</cp:lastModifiedBy>
  <cp:revision>1</cp:revision>
  <dcterms:created xsi:type="dcterms:W3CDTF">2026-08-24T23:05:15.116Z</dcterms:created>
  <dcterms:modified xsi:type="dcterms:W3CDTF">2026-08-24T23:05:15.116Z</dcterms:modified>
</cp:coreProperties>
</file>

<file path=docProps/custom.xml><?xml version="1.0" encoding="utf-8"?>
<Properties xmlns="http://schemas.openxmlformats.org/officeDocument/2006/custom-properties" xmlns:vt="http://schemas.openxmlformats.org/officeDocument/2006/docPropsVTypes"/>
</file>