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 relatório descritivo à análise evolutiva do humor: aprofundamento estatístico, processamento em Python e auditoria interna por script</w:t>
      </w:r>
    </w:p>
    <w:p>
      <w:pPr>
        <w:jc w:val="center"/>
      </w:pPr>
      <w:r>
        <w:rPr>
          <w:b w:val="0"/>
          <w:i/>
          <w:sz w:val="18"/>
        </w:rPr>
        <w:t>Monitoramento psicométrico (BRUMS-24) em microciclo de choque de HIIT · handebol de elite · 27 atletas · 456 observações · 21–28/04/2024 · atletas anonimizados (A01–A27)</w:t>
      </w:r>
    </w:p>
    <w:p>
      <w:pPr>
        <w:pStyle w:val="Heading1"/>
      </w:pPr>
      <w:r>
        <w:t>1. Apresentação</w:t>
      </w:r>
    </w:p>
    <w:p>
      <w:pPr>
        <w:jc w:val="both"/>
      </w:pPr>
      <w:r>
        <w:rPr>
          <w:b w:val="0"/>
          <w:i w:val="0"/>
        </w:rPr>
        <w:t>Este documento tem dois propósitos, articulados para a apreciação do orientador. Primeiro, dar transparência ao processo analítico: descrever, de forma verificável, como os arquivos brutos foram processados e analisados em Python e como cada resultado foi submetido a uma auditoria interna por script — isto é, recomputado de maneira independente do relatório original, para confirmar sua fidedignidade. Segundo, evoluir o relatório descritivo inicial (perfil de humor ao longo da semana) para uma análise evolutiva, que caracteriza não apenas o "quanto" o humor mudou, mas a forma da mudança no tempo, a fração dessa mudança que é sinal real versus ruído de medida, e as condições sob as quais a variação é interpretável no grupo e no atleta. A argumentação segue do dado bruto à conclusão, mostrando por que cada passo foi tomado.</w:t>
      </w:r>
    </w:p>
    <w:p>
      <w:pPr>
        <w:pStyle w:val="Heading1"/>
      </w:pPr>
      <w:r>
        <w:t>2. Processamento em Python e auditoria interna por script</w:t>
      </w:r>
    </w:p>
    <w:p>
      <w:pPr>
        <w:jc w:val="both"/>
      </w:pPr>
      <w:r>
        <w:rPr>
          <w:b w:val="0"/>
          <w:i w:val="0"/>
        </w:rPr>
        <w:t>Os dados chegaram em planilhas de trabalho (Excel) contendo as respostas do BRUMS-24, as autoavaliações de fadiga e os registros de sessão. O tratamento seguiu um pipeline inteiramente roteirizado em Python (bibliotecas pandas, numpy, SciPy e statsmodels), o que garante que qualquer número deste relatório possa ser regenerado a partir da base, sem edição manual:</w:t>
      </w:r>
    </w:p>
    <w:p>
      <w:pPr>
        <w:pStyle w:val="ListBullet"/>
      </w:pPr>
      <w:r>
        <w:rPr>
          <w:sz w:val="19"/>
        </w:rPr>
        <w:t>(i) Extração e leitura das planilhas (openpyxl/pandas), com conferência de tipos, faixas válidas e valores ausentes;</w:t>
      </w:r>
    </w:p>
    <w:p>
      <w:pPr>
        <w:pStyle w:val="ListBullet"/>
      </w:pPr>
      <w:r>
        <w:rPr>
          <w:sz w:val="19"/>
        </w:rPr>
        <w:t>(ii) Anonimização irreversível na fronteira do processamento: cada atleta recebeu um código A01–A27 e nenhum nome real integra as bases derivadas, as figuras ou os relatórios — uma varredura automática (leak-scan) roda antes de cada versionamento para impedir vazamento de identificação;</w:t>
      </w:r>
    </w:p>
    <w:p>
      <w:pPr>
        <w:pStyle w:val="ListBullet"/>
      </w:pPr>
      <w:r>
        <w:rPr>
          <w:sz w:val="19"/>
        </w:rPr>
        <w:t>(iii) Construção de bases derivadas por finalidade (humor por observação, itens do BRUMS, momentos pré/mid/pós, sessões de treino), preservando a estrutura aninhada observação ⊂ dia ⊂ atleta;</w:t>
      </w:r>
    </w:p>
    <w:p>
      <w:pPr>
        <w:pStyle w:val="ListBullet"/>
      </w:pPr>
      <w:r>
        <w:rPr>
          <w:sz w:val="19"/>
        </w:rPr>
        <w:t>(iv) Auditoria interna: cada estatística de destaque do relatório descritivo foi recomputada por um script independente e confrontada com o valor original; divergências seriam sinalizadas automaticamente.</w:t>
      </w:r>
    </w:p>
    <w:p>
      <w:pPr>
        <w:jc w:val="both"/>
      </w:pPr>
      <w:r>
        <w:rPr>
          <w:b w:val="0"/>
          <w:i w:val="0"/>
        </w:rPr>
        <w:t>O resultado da auditoria é de concordância. Os achados longitudinais centrais — a queda do vigor e a elevação da fadiga do Dia 1 ao Dia 7, com seus tamanhos de efeito e níveis de significância — foram reproduzidos de forma idêntica; pequenas diferenças restringiram-se a métricas cuja definição admite variação operacional (a proporção de "perfil iceberg", sensível ao critério adotado, e a resposta aguda pré→pós, sensível a quais dias e a quais respostas do dia são tomadas como "antes" e "depois"). A Tabela 1 sintetiza a auditoria.</w:t>
      </w:r>
    </w:p>
    <w:p>
      <w:r>
        <w:rPr>
          <w:b/>
          <w:sz w:val="17"/>
        </w:rPr>
        <w:t>Tabela 1 — Auditoria interna: reprodução independente das estatísticas de destaque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2412"/>
          </w:tcPr>
          <w:p>
            <w:r>
              <w:rPr>
                <w:b/>
                <w:sz w:val="16"/>
              </w:rPr>
              <w:t>Relatório descritivo (reportado)</w:t>
            </w:r>
          </w:p>
        </w:tc>
        <w:tc>
          <w:tcPr>
            <w:tcW w:type="dxa" w:w="2412"/>
          </w:tcPr>
          <w:p>
            <w:r>
              <w:rPr>
                <w:b/>
                <w:sz w:val="16"/>
              </w:rPr>
              <w:t>Recomputado por script (auditoria)</w:t>
            </w:r>
          </w:p>
        </w:tc>
        <w:tc>
          <w:tcPr>
            <w:tcW w:type="dxa" w:w="2412"/>
          </w:tcPr>
          <w:p>
            <w:r>
              <w:rPr>
                <w:b/>
                <w:sz w:val="16"/>
              </w:rPr>
              <w:t>Concordância</w:t>
            </w:r>
          </w:p>
        </w:tc>
      </w:tr>
      <w:tr>
        <w:tc>
          <w:tcPr>
            <w:tcW w:type="dxa" w:w="2412"/>
          </w:tcPr>
          <w:p>
            <w:r>
              <w:rPr>
                <w:sz w:val="16"/>
              </w:rPr>
              <w:t>Vigor — Dia 1 → Dia 7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7,6 → 4,5; dz −0,95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7,6 → 4,5; dz −0,95; p = 0,001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idêntico</w:t>
            </w:r>
          </w:p>
        </w:tc>
      </w:tr>
      <w:tr>
        <w:tc>
          <w:tcPr>
            <w:tcW w:type="dxa" w:w="2412"/>
          </w:tcPr>
          <w:p>
            <w:r>
              <w:rPr>
                <w:sz w:val="16"/>
              </w:rPr>
              <w:t>Fadiga — Dia 1 → Dia 7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4,3 → 7,5; dz +0,72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4,3 → 7,5; dz +0,72; p = 0,004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idêntico</w:t>
            </w:r>
          </w:p>
        </w:tc>
      </w:tr>
      <w:tr>
        <w:tc>
          <w:tcPr>
            <w:tcW w:type="dxa" w:w="2412"/>
          </w:tcPr>
          <w:p>
            <w:r>
              <w:rPr>
                <w:sz w:val="16"/>
              </w:rPr>
              <w:t>PTH/TMD — Dia 1 → Dia 7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dz +0,41; p = 0,104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dz +0,41; p = 0,104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idêntico</w:t>
            </w:r>
          </w:p>
        </w:tc>
      </w:tr>
      <w:tr>
        <w:tc>
          <w:tcPr>
            <w:tcW w:type="dxa" w:w="2412"/>
          </w:tcPr>
          <w:p>
            <w:r>
              <w:rPr>
                <w:sz w:val="16"/>
              </w:rPr>
              <w:t>Tensão — Dia 1 → Dia 7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dz −0,59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dz −0,59; p = 0,011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idêntico</w:t>
            </w:r>
          </w:p>
        </w:tc>
      </w:tr>
      <w:tr>
        <w:tc>
          <w:tcPr>
            <w:tcW w:type="dxa" w:w="2412"/>
          </w:tcPr>
          <w:p>
            <w:r>
              <w:rPr>
                <w:sz w:val="16"/>
              </w:rPr>
              <w:t>Perfil iceberg — D1 → D7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74% → 38%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71% → 33% (critério clássico)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concordante (Δ ≤ 5 pp; definição)</w:t>
            </w:r>
          </w:p>
        </w:tc>
      </w:tr>
      <w:tr>
        <w:tc>
          <w:tcPr>
            <w:tcW w:type="dxa" w:w="2412"/>
          </w:tcPr>
          <w:p>
            <w:r>
              <w:rPr>
                <w:sz w:val="16"/>
              </w:rPr>
              <w:t>Resposta aguda pré→pós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vigor↓, fadiga↑, PTH↑ (peq.–mod.)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mesma direção e ordem de magnitude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concordante (operacional)</w:t>
            </w:r>
          </w:p>
        </w:tc>
      </w:tr>
      <w:tr>
        <w:tc>
          <w:tcPr>
            <w:tcW w:type="dxa" w:w="2412"/>
          </w:tcPr>
          <w:p>
            <w:r>
              <w:rPr>
                <w:sz w:val="16"/>
              </w:rPr>
              <w:t>Amostra / observações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27 atletas / 456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27 atletas / 456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idêntico</w:t>
            </w:r>
          </w:p>
        </w:tc>
      </w:tr>
    </w:tbl>
    <w:p>
      <w:pPr>
        <w:pStyle w:val="Heading1"/>
      </w:pPr>
      <w:r>
        <w:t>3. Análise evolutiva do humor</w:t>
      </w:r>
    </w:p>
    <w:p>
      <w:pPr>
        <w:jc w:val="both"/>
      </w:pPr>
      <w:r>
        <w:rPr>
          <w:b w:val="0"/>
          <w:i w:val="0"/>
        </w:rPr>
        <w:t>Confirmada a base descritiva, a análise foi aprofundada em cinco camadas que respondem, de forma encadeada, à pergunta central do orientador: a evolução do humor no microciclo é real, e o que ela significa para a decisão prática?</w:t>
      </w:r>
    </w:p>
    <w:p>
      <w:pPr>
        <w:pStyle w:val="Heading2"/>
      </w:pPr>
      <w:r>
        <w:t>3.1. A forma da evolução ao longo da semana</w:t>
      </w:r>
    </w:p>
    <w:p>
      <w:pPr>
        <w:jc w:val="both"/>
      </w:pPr>
      <w:r>
        <w:rPr>
          <w:b w:val="0"/>
          <w:i w:val="0"/>
        </w:rPr>
        <w:t>A trajetória do eixo energia–fadiga não é uma reta. Ajustando polinômios ortogonais no modelo misto, as componentes linear e cúbica são significativas (a quadrática, não), e o crescimento cúbico vence por critérios de informação (AIC/LRT, p &lt; 0,001). Isso descreve três fases: uma subida inicial da fadiga, um alívio parcial no meio da semana e uma precipitação no Dia 7 — o maior passo diário de toda a série ocorre justamente de D6 para D7. A leitura das derivadas torna essa forma precisa: para a PTH/TMD, a velocidade diária da mudança percorre valores da ordem de +4,8 (D1) → +1,3 → −0,7 → −1,2 → −0,3 → +2,2 → +6,1 (D7), cruzando zero por volta dos dias 3 e 5,5 (o "alívio") e atingindo o módulo máximo no Dia 7. Ou seja, a velocidade não tende a zero (não haveria platô/saturação): ela apenas cruza zero no ponto de virada para logo reacelerar rumo ao pico do último dia, enquanto a aceleração muda de sinal uma única vez, no ponto de inflexão (~Dia 4). A evolução é, portanto, de acúmulo com desfecho abrupto — precipitação, não saturação —, e não de deriva linear uniforme.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1_grupo_sem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— Evolução semanal do grupo (média ± DP; suavização LOWESS pontilhada; linhas vermelhas = dias de HIIT). Vigor cai, Fadiga e PTH/TMD sobem com precipitação no Dia 7; a Fadiga mental permanece plana.</w:t>
      </w:r>
    </w:p>
    <w:p>
      <w:pPr>
        <w:pStyle w:val="Heading2"/>
      </w:pPr>
      <w:r>
        <w:t>3.2. A evolução dentro da sessão (pré → intra-sessão → pós)</w:t>
      </w:r>
    </w:p>
    <w:p>
      <w:pPr>
        <w:jc w:val="both"/>
      </w:pPr>
      <w:r>
        <w:rPr>
          <w:b w:val="0"/>
          <w:i w:val="0"/>
        </w:rPr>
        <w:t>A mesma lógica de acúmulo reaparece em miniatura dentro de cada dia. Acrescentando o momento intra-sessão (mid) entre o pré e o pós, observa-se que o curso agudo não é monotônico: a fadiga frequentemente atinge o pico no meio da sessão e recua ligeiramente ao final, de modo que uma leitura apenas pré/pós subestima o ponto de maior carga percebida. A resposta aguda é mais nítida no Dia 1 (choque inicial) e no fim da semana, e sua direção (vigor↓, fadiga↑, PTH↑) é a mesma da evolução semanal — a sessão é um análogo, em menor amplitude, do processo crônico.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6_prepos_d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 — Evolução intra-dia (pré → mid → pós) das quatro variáveis do eixo energia–fadiga. O asterisco marca dias com resposta pareada significativa (Wilcoxon, p &lt; 0,05).</w:t>
      </w:r>
    </w:p>
    <w:p>
      <w:pPr>
        <w:pStyle w:val="Heading2"/>
      </w:pPr>
      <w:r>
        <w:t>3.3. Sinal, traço e ruído: quanto da evolução é real</w:t>
      </w:r>
    </w:p>
    <w:p>
      <w:pPr>
        <w:jc w:val="both"/>
      </w:pPr>
      <w:r>
        <w:rPr>
          <w:b w:val="0"/>
          <w:i w:val="0"/>
        </w:rPr>
        <w:t>Toda observação psicométrica combina três fontes: o sinal do microciclo (a evolução sistemática que interessa), o traço (as diferenças estáveis entre atletas) e o ruído (erro de medida e flutuação aleatória). Decompondo a variância de cada variável (modelo atleta + dia), o sinal do microciclo é, em todas elas, a menor fração (1–12%): a maior parte é traço (32–73%) e ruído (26–64%). A fadiga física concentra o maior sinal (12%) e a melhor relação sinal-ruído (SNR 2,0), confirmando-a como o marcador mais limpo; a fadiga mental é quase pura estrutura de traço (73%) e não responde ao microciclo (SNR &lt; 1). Este é o argumento que sustenta por que a fadiga física e o par vigor–fadiga — e não as subescalas negativas nem a PTH agregada — carregam o sinal útil.</w:t>
      </w:r>
    </w:p>
    <w:p>
      <w:r>
        <w:rPr>
          <w:b/>
          <w:sz w:val="17"/>
        </w:rPr>
        <w:t>Tabela 2 — Decomposição da evolução em sinal, traço e ruído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6"/>
              </w:rPr>
              <w:t>Variável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Ampl. do sinal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% Sinal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% Traço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% Ruído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SNR</w:t>
            </w:r>
          </w:p>
        </w:tc>
      </w:tr>
      <w:tr>
        <w:tc>
          <w:tcPr>
            <w:tcW w:type="dxa" w:w="1608"/>
          </w:tcPr>
          <w:p>
            <w:r>
              <w:rPr>
                <w:sz w:val="16"/>
              </w:rPr>
              <w:t>Fadiga física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3.30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12%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42%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46%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608"/>
          </w:tcPr>
          <w:p>
            <w:r>
              <w:rPr>
                <w:sz w:val="16"/>
              </w:rPr>
              <w:t>Vigor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2.83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54%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41%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608"/>
          </w:tcPr>
          <w:p>
            <w:r>
              <w:rPr>
                <w:sz w:val="16"/>
              </w:rPr>
              <w:t>Fadiga BRUMS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3.74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58%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37%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1.52</w:t>
            </w:r>
          </w:p>
        </w:tc>
      </w:tr>
      <w:tr>
        <w:tc>
          <w:tcPr>
            <w:tcW w:type="dxa" w:w="1608"/>
          </w:tcPr>
          <w:p>
            <w:r>
              <w:rPr>
                <w:sz w:val="16"/>
              </w:rPr>
              <w:t>PTH/TMD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6.24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61%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36%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1.04</w:t>
            </w:r>
          </w:p>
        </w:tc>
      </w:tr>
      <w:tr>
        <w:tc>
          <w:tcPr>
            <w:tcW w:type="dxa" w:w="1608"/>
          </w:tcPr>
          <w:p>
            <w:r>
              <w:rPr>
                <w:sz w:val="16"/>
              </w:rPr>
              <w:t>Fadiga mental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0.92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73%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26%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0.62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7260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p_a_varia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3 — Origem da variância por variável: sinal do microciclo (vermelho) vs traço estável (azul) vs ruído (cinza).</w:t>
      </w:r>
    </w:p>
    <w:p>
      <w:pPr>
        <w:jc w:val="both"/>
      </w:pPr>
      <w:r>
        <w:rPr>
          <w:b w:val="0"/>
          <w:i w:val="0"/>
        </w:rPr>
        <w:t>Há ainda uma razão psicométrica para as subescalas negativas não evoluírem: o efeito de piso. Cerca de 50% a 80% das respostas de tensão, depressão, raiva e confusão são zero, e a magnitude da resposta aguda de cada variável é quase perfeitamente predita pela sua proporção de piso (|dz| ≈ 0,588 − 0,0063·%piso; ρ = −0,92; R² = 0,85). Uma variável ancorada no piso não tem para onde descer e pouca margem para subir de forma detectável — sua "não evolução" é uma consequência métrica, não a ausência do fenômeno. Isso reforça, por um caminho independente, que o sinal deve ser buscado no par vigor–fadiga.</w:t>
      </w:r>
    </w:p>
    <w:p>
      <w:pPr>
        <w:pStyle w:val="Heading2"/>
      </w:pPr>
      <w:r>
        <w:t>3.4. Detectabilidade: a evolução é legível no grupo e no atleta?</w:t>
      </w:r>
    </w:p>
    <w:p>
      <w:pPr>
        <w:jc w:val="both"/>
      </w:pPr>
      <w:r>
        <w:rPr>
          <w:b w:val="0"/>
          <w:i w:val="0"/>
        </w:rPr>
        <w:t>A distinção entre sinal e ruído tem consequência prática direta. Derivando do ruído a mudança mínima detectável (MDC95), a evolução semanal do grupo supera o limiar de ruído da média por 4 a 10 vezes — é, portanto, inequívoca no coletivo. No indivíduo, porém, a mesma oscilação fica abaixo do MDC95 de uma única coleta: não por ser irreal, mas porque o ruído da média de 27 atletas encolhe por √n, enquanto o de um atleta isolado, não. A recomendação do relatório descritivo — referenciar cada atleta à sua própria linha de base — ganha aqui uma quantificação: a decisão individual confiável requer médias de aproximadamente 3 a 5 coletas, que trazem o ruído para baixo da amplitude do sinal.</w:t>
      </w:r>
    </w:p>
    <w:p>
      <w:r>
        <w:rPr>
          <w:b/>
          <w:sz w:val="17"/>
        </w:rPr>
        <w:t>Tabela 3 — Detectabilidade em dois níveis (a oscilação semanal supera o ruído?)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6"/>
              </w:rPr>
              <w:t>Variável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Ampl. sinal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MDC95 individual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Detecta no indivíduo?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MDC95 grupo</w:t>
            </w:r>
          </w:p>
        </w:tc>
        <w:tc>
          <w:tcPr>
            <w:tcW w:type="dxa" w:w="1608"/>
          </w:tcPr>
          <w:p>
            <w:r>
              <w:rPr>
                <w:b/>
                <w:sz w:val="16"/>
              </w:rPr>
              <w:t>Detecta no grupo?</w:t>
            </w:r>
          </w:p>
        </w:tc>
      </w:tr>
      <w:tr>
        <w:tc>
          <w:tcPr>
            <w:tcW w:type="dxa" w:w="1608"/>
          </w:tcPr>
          <w:p>
            <w:r>
              <w:rPr>
                <w:sz w:val="16"/>
              </w:rPr>
              <w:t>Fadiga física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3.30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4.54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0.56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608"/>
          </w:tcPr>
          <w:p>
            <w:r>
              <w:rPr>
                <w:sz w:val="16"/>
              </w:rPr>
              <w:t>Vigor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2.83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5.77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608"/>
          </w:tcPr>
          <w:p>
            <w:r>
              <w:rPr>
                <w:sz w:val="16"/>
              </w:rPr>
              <w:t>Fadiga BRUMS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3.74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6.84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608"/>
          </w:tcPr>
          <w:p>
            <w:r>
              <w:rPr>
                <w:sz w:val="16"/>
              </w:rPr>
              <w:t>PTH/TMD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6.24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16.71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2.07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  <w:t>SIM</w:t>
            </w:r>
          </w:p>
        </w:tc>
      </w:tr>
    </w:tbl>
    <w:p>
      <w:pPr>
        <w:pStyle w:val="Heading2"/>
      </w:pPr>
      <w:r>
        <w:t>3.5. Removendo o ruído: as conclusões ficam mais nítidas</w:t>
      </w:r>
    </w:p>
    <w:p>
      <w:pPr>
        <w:jc w:val="both"/>
      </w:pPr>
      <w:r>
        <w:rPr>
          <w:b w:val="0"/>
          <w:i w:val="0"/>
        </w:rPr>
        <w:t>Por fim, perguntou-se: e se removêssemos o ruído? Removê-lo (por agregação, suavização ou correção pela confiabilidade) não altera a direção das conclusões — apenas as torna mais precisas. As associações do eixo energia–fadiga, uma vez descontado o erro de medida, aproximam-se de uma dimensão bipolar quase perfeita (vigor × fadiga passa de −0,44 para −0,93 no nível-grupo), e os tamanhos de efeito crescem (a fadiga física de dz +1,74 para +2,36; o vigor de −0,95 para −1,25): a leitura bruta subestimava o custo do microciclo. Crucialmente, remover o ruído não fabrica sinal onde não há — as subescalas negativas, ancoradas no piso, permanecem planas. A não resposta delas é um fenômeno real, não um artefato de ruído.</w:t>
      </w:r>
    </w:p>
    <w:p>
      <w:r>
        <w:rPr>
          <w:b/>
          <w:sz w:val="17"/>
        </w:rPr>
        <w:t>Tabela 4 — O efeito de remover o ruído sobre as associações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6"/>
              </w:rPr>
              <w:t>Par</w:t>
            </w:r>
          </w:p>
        </w:tc>
        <w:tc>
          <w:tcPr>
            <w:tcW w:type="dxa" w:w="3216"/>
          </w:tcPr>
          <w:p>
            <w:r>
              <w:rPr>
                <w:b/>
                <w:sz w:val="16"/>
              </w:rPr>
              <w:t>Correlação observada (com ruído)</w:t>
            </w:r>
          </w:p>
        </w:tc>
        <w:tc>
          <w:tcPr>
            <w:tcW w:type="dxa" w:w="3216"/>
          </w:tcPr>
          <w:p>
            <w:r>
              <w:rPr>
                <w:b/>
                <w:sz w:val="16"/>
              </w:rPr>
              <w:t>Correlação sem ruído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Vigor × Fadiga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-0.44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-0.93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Fadiga × PTH/TMD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+0.79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+0.89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Fadiga física × Fadiga mental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+0,50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+0,37 (tendência) / +0,78 desatenuada</w:t>
            </w:r>
          </w:p>
        </w:tc>
      </w:tr>
    </w:tbl>
    <w:p>
      <w:pPr>
        <w:pStyle w:val="Heading2"/>
      </w:pPr>
      <w:r>
        <w:t>3.6. Contrastes entre variáveis: dissociação e redundância</w:t>
      </w:r>
    </w:p>
    <w:p>
      <w:pPr>
        <w:jc w:val="both"/>
      </w:pPr>
      <w:r>
        <w:rPr>
          <w:b w:val="0"/>
          <w:i w:val="0"/>
        </w:rPr>
        <w:t>A análise evolutiva por pares esclarece o que cada variável acrescenta. A fadiga física e a fadiga mental dissociam ao longo da semana: a física quase dobra (dz +1,74) enquanto a mental permanece plana (dz +0,33). No instante, porém, acoplam-se quando removido o erro de medida (correlação 0,50 → 0,78 desatenuada) — quem está fisicamente exausto tende a relatar mais fadiga mental naquele momento —, mas a trajetória semanal só carrega a física (correlação de tendência 0,37). O custo do microciclo é somático, não cognitivo. Já o Vigor e a PTH/TMD são espelhos inversos do mesmo eixo (correlação −0,62 → −0,78 sem ruído); como o próprio vigor entra na fórmula da PTH com sinal invertido, a PTH não é independente e, tendo o pior sinal-ruído (por diluir o eixo no ruído das negativas de piso), pode ser substituída, sem perda de informação, pelo par vigor + fadiga. A análise evolutiva, portanto, não só descreve a mudança: hierarquiza os instrumentos por quanto sinal útil cada um entrega.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726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2_dissoci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4 — Dissociação da fadiga física (acumula) e da fadiga mental (estável) ao longo da semana (curvas suavizadas).</w:t>
      </w:r>
    </w:p>
    <w:p>
      <w:pPr>
        <w:pStyle w:val="Heading1"/>
      </w:pPr>
      <w:r>
        <w:t>4. Por que as conclusões são robustas</w:t>
      </w:r>
    </w:p>
    <w:p>
      <w:pPr>
        <w:jc w:val="both"/>
      </w:pPr>
      <w:r>
        <w:rPr>
          <w:b w:val="0"/>
          <w:i w:val="0"/>
        </w:rPr>
        <w:t>A confiança nos achados não repousa em um único teste, mas na convergência de métodos independentes sobre a mesma conclusão. O efeito do dia é sustentado por modelos mistos, por análise de tendência polinomial, por permutação (PERMANOVA), por abordagem bayesiana e por curvas ROC — e, sobretudo, pela auditoria interna que reproduziu os números do relatório descritivo a partir do zero. A decomposição sinal-traço-ruído acrescenta a essa convergência uma leitura de magnitude e de confiabilidade: mostra que a evolução observada é pequena em fração de variância, porém real e direcional, e explicita as condições (agregação de coletas) sob as quais é acionável no indivíduo. O quadro é, assim, coerente em todas as escalas — semanal e intradiária, coletiva e individual, bruta e sem ruído.</w:t>
      </w:r>
    </w:p>
    <w:p>
      <w:pPr>
        <w:pStyle w:val="Heading1"/>
      </w:pPr>
      <w:r>
        <w:t>5. Síntese e recomendações</w:t>
      </w:r>
    </w:p>
    <w:p>
      <w:pPr>
        <w:pStyle w:val="ListBullet"/>
      </w:pPr>
      <w:r>
        <w:rPr>
          <w:sz w:val="19"/>
        </w:rPr>
        <w:t>A evolução do humor é real, não linear (cúbica) e concentrada no eixo energia–fadiga, com precipitação no Dia 7; a fadiga física é o marcador mais precoce, sensível e confiável.</w:t>
      </w:r>
    </w:p>
    <w:p>
      <w:pPr>
        <w:pStyle w:val="ListBullet"/>
      </w:pPr>
      <w:r>
        <w:rPr>
          <w:sz w:val="19"/>
        </w:rPr>
        <w:t>A maior parte da oscilação diária de um atleta é traço e ruído (sinal do microciclo = 1–12% da variância); interpretar oscilações isoladas como resposta ao treino é arriscado.</w:t>
      </w:r>
    </w:p>
    <w:p>
      <w:pPr>
        <w:pStyle w:val="ListBullet"/>
      </w:pPr>
      <w:r>
        <w:rPr>
          <w:sz w:val="19"/>
        </w:rPr>
        <w:t>A leitura do grupo é robusta com uma coleta/dia; a decisão individual exige médias de ≥3–5 coletas e limiares baseados no MDC, não valores absolutos pontuais.</w:t>
      </w:r>
    </w:p>
    <w:p>
      <w:pPr>
        <w:pStyle w:val="ListBullet"/>
      </w:pPr>
      <w:r>
        <w:rPr>
          <w:sz w:val="19"/>
        </w:rPr>
        <w:t>Removido o ruído, as conclusões ficam mais fortes, não diferentes; as subescalas negativas e a fadiga mental não são marcadores úteis de carga aguda deste microciclo — a PTH agregada pode ser substituída, sem perda, pelo par vigor + fadiga.</w:t>
      </w:r>
    </w:p>
    <w:p>
      <w:pPr>
        <w:pStyle w:val="Heading1"/>
      </w:pPr>
      <w:r>
        <w:t>6. Reprodutibilidade e governança de dados</w:t>
      </w:r>
    </w:p>
    <w:p>
      <w:pPr>
        <w:jc w:val="both"/>
      </w:pPr>
      <w:r>
        <w:rPr>
          <w:b w:val="0"/>
          <w:i w:val="0"/>
        </w:rPr>
        <w:t>Todo o processamento e as análises são reproduzíveis pelos scripts em Python depositados em scripts/analise/ (extração, normalidade, amplitude, decomposição sinal-ruído, pré/mid/pós, remoção de ruído e auditoria), executados sobre bases derivadas da janela de 21–28/04/2024. Os atletas são identificados exclusivamente por códigos A01–A27; nenhum dado bruto com identificação pessoal é distribuído, e uma varredura automática impede vazamento de nomes a cada versionamento. As figuras estão disponíveis em alta resolução (4K) e os relatórios detalhados de cada camada acompanham este documento.</w:t>
      </w:r>
    </w:p>
    <w:p>
      <w:pPr>
        <w:jc w:val="both"/>
      </w:pPr>
      <w:r>
        <w:rPr>
          <w:b w:val="0"/>
          <w:i/>
          <w:sz w:val="17"/>
        </w:rPr>
        <w:t>Documento gerado a partir do relatório descritivo enviado, unificado à reanálise evolutiva. Processamento e auditoria em Python (pandas, numpy, SciPy, statsmodels). Atletas anonimizados (A01–A27).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