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 a comparação de cada dimensão do BRUMS entre todos os dias e a identificação dos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o que indica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o que fundamenta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analisar o perfil de humor desses atletas na última semana de pré-temporada, com atenção ao comportamento de cada dimensão do BRUMS, à comparação entre todos os dias, à identificação dos dias de maior e menor expressão de cada estado e à relação da resposta com a aptidão aeróbia intermitente.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Arremesso (medicine ball, 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superiores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Distância do arremesso (m)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arremesso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A migração de perfil ao longo da semana foi testada como tendência por regressão logística da probabilidade de cada perfil (iceberg e barbatana de tubarão) em função do dia do microciclo, e modelou-se também a probabilidade de um dia de baixo vigor (tercil inferior) e a de exibir o perfil iceberg em função do pico de velocidade; os intervalos de confiança das razões de chances e das áreas sob a curva foram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dinâmica temporal foi ainda modelada por meio do ajuste de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com a quantificação da razão sinal-ruído (SNR) e uma visualização suavizada das curvas.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e arremesso),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11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11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12),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13).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14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14).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15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15.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16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16;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17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17; Figura 15).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16).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18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18; Figura 17).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19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19)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20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20; Figura 18).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21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21)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19).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22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Trajetórias diárias suavizadas: sinal (curva) sobreposto às médias diárias observadas (pontos), com separação entre a tendência e oruído.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22; Figura 20).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Trajetórias individuais de vigor e fadiga por atleta (linhas finas) e a média do grupo (linha grossa), que expõem aheterogeneidade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com o ajuste, para cada participante, de sua própria trajetória ao longo da semana (Figura 21).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Trajetória do grupo em 13 pontos temporais (baseline + pré e pós-treino de cada dia), com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 base nas duas coletas diárias dos dias de treino, a trajetória do grupo foi reconstruída em alta resolução, com 13 pontos temporais — a linha de base e os momentos pré e pós de cada um dos seis dias de treino (Figura 22).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23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23).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120" w:after="80" w:line="360" w:lineRule="auto"/>
      </w:pPr>
      <w:r>
        <w:rPr>
          <w:b/>
          <w:sz w:val="24"/>
        </w:rPr>
        <w:t>3.18 Moduladores da magnitude dos efeitos agudo e crônico</w:t>
      </w:r>
    </w:p>
    <w:p>
      <w:pPr>
        <w:spacing w:before="160" w:after="40"/>
      </w:pPr>
      <w:r>
        <w:rPr>
          <w:sz w:val="22"/>
        </w:rPr>
        <w:t>Tabela 24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arremesso de medicine ball;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24; Figura 23).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aumento do estresse psicossocial — corresponde a um sobre-esforço funcional, ou seja, a uma fadiga esperada e reversível, própria de uma fase de acumulação. A aptidão aeróbia intermitente atenuou essa resposta: os atletas mais aptos exibiram mais vigor e menos fadiga, e dois limiares de pico de velocidade delimitaram faixas de risco úteis à individualização da carga.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