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 seletividade do eixo energia–fadiga que reproduz, num microciclo de handebol, o comportamento já documentado em outras modalidades sob carga —,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120"/>
        <w:ind w:firstLine="709"/>
        <w:jc w:val="both"/>
      </w:pPr>
      <w:r>
        <w:rPr>
          <w:b w:val="0"/>
          <w:sz w:val="24"/>
        </w:rPr>
        <w:t>Apesar da ampla adoção da BRUMS, escasseiam descrições detalhadas do comportamento do humor ao longo de um microciclo pré-competitivo de handebol de elite —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 perfis e médias em instantâneos —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 taxa de variação, aceleração e cruzamento energia–fadiga —,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 pré e pós-treino —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e correlação média entre itens), pela assimetria da distribuição e pela presença de efeito de piso, considerado relevante quando mais de 15% das observações se concentravam no menor escore possível (TERWEE et al., 2007). A partir do ICC e do desvio-padrão, derivaram-se o erro-padrão de medida (SEM = DP × √(1 − ICC)) e a mudança mínima detectável (MDC = 1,96 × √2 × SEM, a 90% e a 95% de confiança), que expressa a menor variação individual distinguível do erro de medida; como referência de relevância prática, computou-se ainda a menor mudança relevante (SWC = 0,2 × desvio-padrão entre atletas).</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w:t>
      </w:r>
    </w:p>
    <w:p>
      <w:pPr>
        <w:spacing w:line="360" w:lineRule="auto" w:after="120"/>
        <w:ind w:firstLine="709"/>
        <w:jc w:val="both"/>
      </w:pPr>
      <w:r>
        <w:rPr>
          <w:b w:val="0"/>
          <w:sz w:val="24"/>
        </w:rPr>
        <w:t>Para aprofundar a inferência sobre a dinâmica temporal, acrescentaram-se três abordagens complementares. Primeiro, ajustou-se um modelo bayesiano multinível de curva de crescimento ao vigor e à fadiga, com o dia do microciclo (componente crônica) e o momento pré/pós (componente aguda) como efeitos fixos e interceptos e inclinações aleatórios por atleta; a estimação por amostrador de Gibbs com prioris conjugadas fracamente informativas (20 000 iterações, descarte inicial de 6 000, semente 2024) forneceu intervalos de credibilidade de 95%, a partição da variância entre atletas (correlação intraclasse) e a dispersão das inclinações individuais, com as médias a posteriori confrontadas com um modelo misto de máxima verossimilhança restrita para validação (McELREATH, 2020). Segundo, estimou-se uma rede psicométrica (modelo gráfico gaussiano) das seis dimensões por correlações parciais, no dia descansado e no dia de maior carga, com a força global (soma das arestas absolutas) comparada por teste de permutação de 5 000 reamostragens (EPSKAMP; FRIED, 2018). Terceiro, como verificação de robustez que respeita a natureza ordinal e limitada das subescalas, ajustou-se um modelo de odds proporcionais (cumulative link) do dia e do momento pré/pós sobre o vigor e a fadiga categorizados em tercis (LIDDELL; KRUSCHKE, 2018).</w:t>
      </w:r>
    </w:p>
    <w:p>
      <w:pPr>
        <w:spacing w:line="360" w:lineRule="auto" w:after="120"/>
        <w:ind w:firstLine="709"/>
        <w:jc w:val="both"/>
      </w:pPr>
      <w:r>
        <w:rPr>
          <w:b w:val="0"/>
          <w:sz w:val="24"/>
        </w:rPr>
        <w:t>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4: o vigor e a fadiga concentram as maiores médias e variabilidade.</w:t>
      </w:r>
    </w:p>
    <w:p>
      <w:pPr>
        <w:spacing w:before="160" w:after="40"/>
      </w:pPr>
      <w:r>
        <w:rPr>
          <w:sz w:val="22"/>
        </w:rPr>
        <w:t>Tabela 5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 médio entre itens</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considerado presente quando &gt; 15% das observações no menor escore (TERWEE et al., 2007). α = alfa de Cronbach; r médio entre itens = correlação inter-item média.</w:t>
      </w:r>
    </w:p>
    <w:p>
      <w:pPr>
        <w:spacing w:after="120"/>
      </w:pPr>
      <w:r>
        <w:rPr>
          <w:sz w:val="18"/>
        </w:rPr>
        <w:t>Fonte: dados da pesquisa (2026).</w:t>
      </w:r>
    </w:p>
    <w:p>
      <w:pPr>
        <w:spacing w:line="360" w:lineRule="auto" w:after="120"/>
        <w:ind w:firstLine="709"/>
        <w:jc w:val="both"/>
      </w:pPr>
      <w:r>
        <w:rPr>
          <w:b w:val="0"/>
          <w:sz w:val="24"/>
        </w:rPr>
        <w:t>As propriedades psicométricas (Tabela 5) esclarecem por que a resposta se restringiu ao eixo energia–fadiga. O vigor e a fadiga distribuíram-se ao longo de toda a escala, com assimetria próxima de zero (+0,15 e +0,62) e sem efeito de piso (9% e 10% no menor escore), e reuniram consistência interna adequada a boa (α = 0,68 e 0,80). As quatro dimensões negativas, ao contrário, exibiram forte efeito de piso — de 46% (tensão) a 79% (confusão) das observações no escore zero — e acentuada assimetria positiva, o que comprime a variância disponível. Essa compressão repercutiu na consistência interna de modo heterogêneo: a tensão e a confusão tiveram alfa reduzido (α = 0,43 e 0,65), pois a baixa variância enfraquece a covariância entre itens, ao passo que a depressão e a raiva mantiveram alfa elevado (α = 0,85 e 0,87) — quando de fato se elevam, os seus itens variam de forma coerente, ainda que isso ocorra em uma minoria das observações. Em suma, não é a fidedignidade da escala, mas o efeito de piso próprio de uma amostra de elite mentalmente saudável, que limita a sensibilidade das dimensões negativas à carga. A Perturbação Total do Humor (PTH), por ser um índice composto, escapa a essa restrição: distribuiu-se de forma contínua (de -12 a 52; sem efeito de piso) e, sobretudo, foi governada pelo eixo energia–fadiga — o vigor e a fadiga sozinhos explicam 70% da sua variância (R²) —, o que a mantém sensível à carga e explica por que a PTH acompanhou a deterioração ao longo da semana, apesar do piso das dimensões negativas que a integram.</w:t>
      </w:r>
    </w:p>
    <w:p>
      <w:pPr>
        <w:spacing w:before="120" w:after="80" w:line="360" w:lineRule="auto"/>
      </w:pPr>
      <w:r>
        <w:rPr>
          <w:b/>
          <w:sz w:val="24"/>
        </w:rPr>
        <w:t>3.4 Diferenças entre pré e pós-treino (com tamanho de efeito)</w:t>
      </w:r>
    </w:p>
    <w:p>
      <w:pPr>
        <w:spacing w:before="160" w:after="40"/>
      </w:pPr>
      <w:r>
        <w:rPr>
          <w:sz w:val="22"/>
        </w:rPr>
        <w:t>Tabela 6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6):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7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7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8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8) foi moderada a boa, com os valores mais baixos na raiva e na confusão — dimensões mais reativas dia a dia.</w:t>
      </w:r>
    </w:p>
    <w:p>
      <w:pPr>
        <w:spacing w:before="160" w:after="40"/>
      </w:pPr>
      <w:r>
        <w:rPr>
          <w:sz w:val="22"/>
        </w:rPr>
        <w:t>Tabela 9 – Erro de medida e limiares de mudança do vigor e da fadiga (escala 0–16): erro-padrão de medida (SEM), mudança mínima detectável (MDC) e menor mudança relevante (SWC).</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interpretada como real quando excede a MDC.</w:t>
      </w:r>
    </w:p>
    <w:p>
      <w:pPr>
        <w:spacing w:after="120"/>
      </w:pPr>
      <w:r>
        <w:rPr>
          <w:sz w:val="18"/>
        </w:rPr>
        <w:t>Fonte: dados da pesquisa (2026).</w:t>
      </w:r>
    </w:p>
    <w:p>
      <w:pPr>
        <w:spacing w:line="360" w:lineRule="auto" w:after="120"/>
        <w:ind w:firstLine="709"/>
        <w:jc w:val="both"/>
      </w:pPr>
      <w:r>
        <w:rPr>
          <w:b w:val="0"/>
          <w:sz w:val="24"/>
        </w:rPr>
        <w:t>Para orientar a leitura individual, derivaram-se do ICC os limiares de mudança (Tabela 9). No vigor, o erro-padrão de medida foi de 2,3 ponto e a mudança mínima detectável, de 5,3 (90%) a 6,3 (95%) pontos; na fadiga, 2,5 e 5,9 a 7,0 pontos, respectivamente. Esses valores contrastam com a menor mudança relevante (SWC = 0,5 no vigor; 0,6 na fadiga): a menor variação que teria significado prático é bem inferior ao erro de medida de uma leitura isolada. A implicação é metodológica e direta — no plano individual, apenas oscilações de cerca de 5,3 a 5,9 pontos podem ser tomadas como mudança real, ao passo que variações menores, embora possivelmente relevantes, confundem-se com o ruído de medida; por isso a inferência deste estudo apoia-se nas tendências de grupo e nos limiares, e não em leituras isoladas por atleta.</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10;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12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120"/>
        <w:ind w:firstLine="709"/>
        <w:jc w:val="both"/>
      </w:pPr>
      <w:r>
        <w:rPr>
          <w:b w:val="0"/>
          <w:sz w:val="24"/>
        </w:rPr>
        <w:t>A Tabela 12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12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13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120"/>
        <w:ind w:firstLine="709"/>
        <w:jc w:val="both"/>
      </w:pPr>
      <w:r>
        <w:rPr>
          <w:b w:val="0"/>
          <w:sz w:val="24"/>
        </w:rPr>
        <w:t>Quanto às relações entre as dimensões (Tabela 13),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12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14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120"/>
        <w:ind w:firstLine="709"/>
        <w:jc w:val="both"/>
      </w:pPr>
      <w:r>
        <w:rPr>
          <w:b w:val="0"/>
          <w:sz w:val="24"/>
        </w:rPr>
        <w:t>A prevalência deslocou-se do iceberg (48% no baseline) para a barbatana de tubarão (22% no Dia 7), com o iceberg em recuo para 22% (Figura 11; Tabela 14). Essa reorganização categórica, contudo, não alcançou significância estatística (χ² = 8,96; p = 0,111) —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12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 na qual, em avaliação momentânea, o iceberg foi o perfil mais prevalente (34,3%) e os perfis de risco os menos prevalentes (barbatana de tubarão 11,6%; iceberg invertido 6,2%; Everest invertido 2,7%) —,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15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120"/>
        <w:ind w:firstLine="709"/>
        <w:jc w:val="both"/>
      </w:pPr>
      <w:r>
        <w:rPr>
          <w:b w:val="0"/>
          <w:sz w:val="24"/>
        </w:rPr>
        <w:t>Para testar a migração de perfil como uma tendência ao longo da semana — e não pela via categórica de baixa potência do qui-quadrado —, ajustou-se uma regressão logística da probabilidade de cada perfil em função do dia do microciclo (Tabela 15). A chance do perfil de barbatana de tubarão cresceu de forma consistente a cada dia (OR = 1,37 por dia; IC95% 1,22–1,70), com elevação da probabilidade prevista de 0,04 no Dia 1 para 0,20 no Dia 7 —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16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400000" cy="2121429"/>
                    </a:xfrm>
                    <a:prstGeom prst="rect"/>
                  </pic:spPr>
                </pic:pic>
              </a:graphicData>
            </a:graphic>
          </wp:inline>
        </w:drawing>
      </w:r>
    </w:p>
    <w:p>
      <w:pPr>
        <w:jc w:val="center"/>
      </w:pPr>
      <w:r>
        <w:rPr>
          <w:sz w:val="22"/>
        </w:rPr>
        <w:t>Figura 13 – Ajuste polinomial P(t) das médias diárias de vigor e fadiga, com a derivada P′(t) (taxa de variação) e o ponto de inflexão.</w:t>
      </w:r>
    </w:p>
    <w:p>
      <w:pPr>
        <w:spacing w:after="120"/>
        <w:jc w:val="center"/>
      </w:pPr>
      <w:r>
        <w:rPr>
          <w:sz w:val="18"/>
        </w:rPr>
        <w:t>Fonte: elaboração dos autores (2026).</w:t>
      </w:r>
    </w:p>
    <w:p>
      <w:pPr>
        <w:spacing w:line="360" w:lineRule="auto" w:after="120"/>
        <w:ind w:firstLine="709"/>
        <w:jc w:val="both"/>
      </w:pPr>
      <w:r>
        <w:rPr>
          <w:b w:val="0"/>
          <w:sz w:val="24"/>
        </w:rPr>
        <w:t>Para caracterizar formalmente a dinâmica temporal, ajustou-se uma função polinomial de grau 3 às médias diárias de cada dimensão e derivaram-se as respectivas taxas de variação (Tabela 16;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 o momento em que a taxa de deterioração deixa de acelerar —, o que fornece uma leitura quantitativa do ritmo do desgaste e sinaliza a metade do microciclo como o marco a partir do qual a resposta afetiva muda de regime.</w:t>
      </w:r>
    </w:p>
    <w:p>
      <w:pPr>
        <w:spacing w:line="360" w:lineRule="auto" w:after="120"/>
        <w:ind w:firstLine="709"/>
        <w:jc w:val="both"/>
      </w:pPr>
      <w:r>
        <w:rPr>
          <w:b w:val="0"/>
          <w:sz w:val="24"/>
        </w:rPr>
        <w:t>A derivada segunda (P″) descreve a aceleração da mudança e a concavidade da trajetória. No vigor, P″ é positiva no início (+2,51) — a queda, embora acentuada, desacelera rumo ao meio da semana —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 o mesmo eixo que domina toda a resposta afetiva à carga.</w:t>
      </w:r>
    </w:p>
    <w:p>
      <w:pPr>
        <w:spacing w:before="160" w:after="40"/>
      </w:pPr>
      <w:r>
        <w:rPr>
          <w:sz w:val="22"/>
        </w:rPr>
        <w:t>Tabela 17 – Extremos da função ajustada e limites da derivada, por dimensão: valor máximo e mínimo modelados (com o dia) e os limites da taxa de variação P′ —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120"/>
        <w:ind w:firstLine="709"/>
        <w:jc w:val="both"/>
      </w:pPr>
      <w:r>
        <w:rPr>
          <w:b w:val="0"/>
          <w:sz w:val="24"/>
        </w:rPr>
        <w:t>Os extremos das funções ajustadas e os limites de suas derivadas (Tabela 17)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12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 os pontos de interseção das funções ocorrem nos dias 2, 4, 6 —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18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120"/>
        <w:ind w:firstLine="709"/>
        <w:jc w:val="both"/>
      </w:pPr>
      <w:r>
        <w:rPr>
          <w:b w:val="0"/>
          <w:sz w:val="24"/>
        </w:rPr>
        <w:t>Para separar a tendência sistemática (sinal) do ruído de amostragem e obter uma leitura visual mais limpa, cada trajetória diária foi decomposta em uma componente suave — a função polinomial ajustada — e um resíduo (Tabela 18;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12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120"/>
        <w:ind w:firstLine="709"/>
        <w:jc w:val="both"/>
      </w:pPr>
      <w:r>
        <w:rPr>
          <w:b w:val="0"/>
          <w:sz w:val="24"/>
        </w:rPr>
        <w:t>Com base nas duas coletas diárias dos dias de treino, a trajetória do grupo foi reconstruída em alta resolução, com 13 pontos temporais —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19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12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19). A filtragem praticamente não alterou nada —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120" w:after="80" w:line="360" w:lineRule="auto"/>
      </w:pPr>
      <w:r>
        <w:rPr>
          <w:b/>
          <w:sz w:val="24"/>
        </w:rPr>
        <w:t>3.15 Modelagem bayesiana multinível: componentes aguda e crônica e heterogeneidade individual</w:t>
      </w:r>
    </w:p>
    <w:p>
      <w:pPr>
        <w:spacing w:before="160" w:after="40"/>
      </w:pPr>
      <w:r>
        <w:rPr>
          <w:sz w:val="22"/>
        </w:rPr>
        <w:t>Tabela 20 – Modelo bayesiano multinível de curva de crescimento para o vigor e a fadiga: estimativas a posteriori (média e intervalo de credibilidade de 95%).</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agudo — pré→pós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-1,18 [-1,68; -0,69]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+1,50 [+0,93; +2,09]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crônico — por dia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-0,33 [-0,55;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+0,31 [+0,04; +0,59]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Correlação intraclasse (ICC)</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 [0,49; 0,79]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0,36 [0,18; 0,55]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DP das inclinações individuais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 [0,32; 0,65]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0,55 [0,38; 0,79]</w:t>
            </w:r>
          </w:p>
        </w:tc>
      </w:tr>
    </w:tbl>
    <w:p>
      <w:pPr>
        <w:spacing w:after="0"/>
      </w:pPr>
      <w:r>
        <w:rPr>
          <w:i/>
          <w:sz w:val="17"/>
        </w:rPr>
        <w:t>Estimação por amostrador de Gibbs (semente 2024); intervalos de credibilidade que excluem zero indicam efeito consistente. ICC = proporção da variância atribuível a diferenças entre atletas.</w:t>
      </w:r>
    </w:p>
    <w:p>
      <w:pPr>
        <w:spacing w:after="120"/>
      </w:pPr>
      <w:r>
        <w:rPr>
          <w:sz w:val="18"/>
        </w:rPr>
        <w:t>Fonte: dados da pesquisa (2026).</w:t>
      </w:r>
    </w:p>
    <w:p>
      <w:pPr>
        <w:spacing w:line="360" w:lineRule="auto" w:after="120"/>
        <w:ind w:firstLine="709"/>
        <w:jc w:val="both"/>
      </w:pPr>
      <w:r>
        <w:rPr>
          <w:b w:val="0"/>
          <w:sz w:val="24"/>
        </w:rPr>
        <w:t>Um modelo bayesiano multinível de curva de crescimento decompôs formalmente a resposta em uma componente aguda (pré→pós, intrassessão) e uma componente crônica (deriva entre dias), com trajetórias específicas de cada atleta (Tabela 20). Ambas as componentes foram consistentes: para o vigor, o choque agudo (-1,18 pontos por sessão; IC95% -1,68 a -0,69) superou em cerca de quatro vezes a deriva crônica (-0,33 por dia; IC95% -0,55 a -0,11), e um padrão simétrico repetiu-se na fadiga (agudo +1,50; IC95% +0,93 a +2,09 | crônico +0,31; IC95% +0,04 a +0,59) — todos os intervalos de credibilidade excluíram o zero. As médias a posteriori praticamente coincidiram com as do modelo misto de máxima verossimilhança restrita, o que confirma a estabilidade da estimação. A partição da variância revelou naturezas distintas: o vigor comportou-se como traço, com a maior parte da variância entre atletas (ICC = 0,65), ao passo que a fadiga foi mais um estado, com variância predominantemente intraindividual (ICC = 0,36). Sobretudo, a dispersão das inclinações individuais foi apreciável (DP = 0,46 no vigor; 0,55 na fadiga), da ordem da própria deriva média: embora o grupo derive na mesma direção, a velocidade da deterioração difere entre atletas — heterogeneidade que o modelo quantifica e que respalda a leitura individualizada do monitoramento.</w:t>
      </w:r>
    </w:p>
    <w:p>
      <w:pPr>
        <w:spacing w:before="120"/>
        <w:jc w:val="center"/>
      </w:pPr>
      <w:r>
        <w:drawing>
          <wp:inline xmlns:a="http://schemas.openxmlformats.org/drawingml/2006/main" xmlns:pic="http://schemas.openxmlformats.org/drawingml/2006/picture">
            <wp:extent cx="5580000" cy="2827200"/>
            <wp:docPr id="18" name="Picture 18"/>
            <wp:cNvGraphicFramePr>
              <a:graphicFrameLocks noChangeAspect="1"/>
            </wp:cNvGraphicFramePr>
            <a:graphic>
              <a:graphicData uri="http://schemas.openxmlformats.org/drawingml/2006/picture">
                <pic:pic>
                  <pic:nvPicPr>
                    <pic:cNvPr id="0" name="rede_humor.png"/>
                    <pic:cNvPicPr/>
                  </pic:nvPicPr>
                  <pic:blipFill>
                    <a:blip r:embed="rId26"/>
                    <a:stretch>
                      <a:fillRect/>
                    </a:stretch>
                  </pic:blipFill>
                  <pic:spPr>
                    <a:xfrm>
                      <a:off x="0" y="0"/>
                      <a:ext cx="5580000" cy="2827200"/>
                    </a:xfrm>
                    <a:prstGeom prst="rect"/>
                  </pic:spPr>
                </pic:pic>
              </a:graphicData>
            </a:graphic>
          </wp:inline>
        </w:drawing>
      </w:r>
    </w:p>
    <w:p>
      <w:pPr>
        <w:jc w:val="center"/>
      </w:pPr>
      <w:r>
        <w:rPr>
          <w:sz w:val="22"/>
        </w:rPr>
        <w:t>Figura 18 – Redes de correlações parciais (modelo gráfico gaussiano) das seis dimensões do BRUMS no dia descansado (Dia 1) e no dia de maior carga (Dia 7). Arestas vermelhas: associação parcial positiva; azuis: negativa; a espessura é proporcional à magnitude. Vigor e fadiga destacados em laranja.</w:t>
      </w:r>
    </w:p>
    <w:p>
      <w:pPr>
        <w:spacing w:after="120"/>
        <w:jc w:val="center"/>
      </w:pPr>
      <w:r>
        <w:rPr>
          <w:sz w:val="18"/>
        </w:rPr>
        <w:t>Fonte: elaboração dos autores (2026).</w:t>
      </w:r>
    </w:p>
    <w:p>
      <w:pPr>
        <w:spacing w:line="360" w:lineRule="auto" w:after="120"/>
        <w:ind w:firstLine="709"/>
        <w:jc w:val="both"/>
      </w:pPr>
      <w:r>
        <w:rPr>
          <w:b w:val="0"/>
          <w:sz w:val="24"/>
        </w:rPr>
        <w:t>A rede psicométrica das seis dimensões (Figura 18) tornou explícita a reorganização do humor sob carga. A mudança foi seletiva, e não global: a força total da rede não aumentou do dia descansado ao dia de maior carga (5,11 → 3,48; teste de permutação p = = 0,244), mas a aresta entre fadiga e raiva, quase nula no início da semana, tornou-se a mais forte do painel ao final (correlação parcial -0,12 → +0,48). Em outras palavras, sob carga acumulada, é especificamente a irritabilidade que se acopla à exaustão — refinamento que a leitura por correlações simples não isola e que traduz, no plano da rede, o “fechamento” do perfil de fadiga.</w:t>
      </w:r>
    </w:p>
    <w:p>
      <w:pPr>
        <w:spacing w:line="360" w:lineRule="auto" w:after="120"/>
        <w:ind w:firstLine="709"/>
        <w:jc w:val="both"/>
      </w:pPr>
      <w:r>
        <w:rPr>
          <w:b w:val="0"/>
          <w:sz w:val="24"/>
        </w:rPr>
        <w:t>Como verificação de robustez que respeita a natureza ordinal e limitada das subescalas, um modelo de odds proporcionais reproduziu o padrão central sem pressupor normalidade. O efeito agudo pré→pós manteve-se nítido — a chance de estar num tercil superior de fadiga mais que dobrou do pré ao pós (OR = 2,25; IC95% 1,43–3,53), enquanto a de vigor caiu na mesma transição (OR = 0,61; IC95% 0,39–0,95) —, e o efeito crônico do dia permaneceu significativo para o vigor (OR = 0,88 por dia; IC95% 0,79–0,99) e no limiar da significância para a fadiga (OR = 1,11; p = = 0,085). A convergência entre o modelo contínuo, o bayesiano e o ordinal reforça que a deterioração do eixo energia–fadiga não é artefato da escala de medida.</w:t>
      </w:r>
    </w:p>
    <w:p>
      <w:pPr>
        <w:spacing w:before="120" w:after="80" w:line="360" w:lineRule="auto"/>
      </w:pPr>
      <w:r>
        <w:rPr>
          <w:b/>
          <w:sz w:val="24"/>
        </w:rPr>
        <w:t>3.16 Classificação individual por mudança confiável (MDC)</w:t>
      </w:r>
    </w:p>
    <w:p>
      <w:pPr>
        <w:spacing w:before="160" w:after="40"/>
      </w:pPr>
      <w:r>
        <w:rPr>
          <w:sz w:val="22"/>
        </w:rPr>
        <w:t>Tabela 21 – Classificação dos atletas pela mudança confiável (Δ Dia 1 → Dia 7 acima da MDC90) no vigor e na fadiga.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Desfecho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Melhora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Piora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Com mudança confiável</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bl>
    <w:p>
      <w:pPr>
        <w:spacing w:after="0"/>
      </w:pPr>
      <w:r>
        <w:rPr>
          <w:i/>
          <w:sz w:val="17"/>
        </w:rPr>
        <w:t>Mudança confiável = |Δ| &gt; MDC90 (vigor 5,3; fadiga 5,9 pontos). Piora = queda de vigor ou elevação de fadiga acima da MDC. n = 21 atletas com medidas completas no Dia 1 e no Dia 7.</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3050400"/>
            <wp:docPr id="19" name="Picture 19"/>
            <wp:cNvGraphicFramePr>
              <a:graphicFrameLocks noChangeAspect="1"/>
            </wp:cNvGraphicFramePr>
            <a:graphic>
              <a:graphicData uri="http://schemas.openxmlformats.org/drawingml/2006/picture">
                <pic:pic>
                  <pic:nvPicPr>
                    <pic:cNvPr id="0" name="mdc_individual.png"/>
                    <pic:cNvPicPr/>
                  </pic:nvPicPr>
                  <pic:blipFill>
                    <a:blip r:embed="rId27"/>
                    <a:stretch>
                      <a:fillRect/>
                    </a:stretch>
                  </pic:blipFill>
                  <pic:spPr>
                    <a:xfrm>
                      <a:off x="0" y="0"/>
                      <a:ext cx="5580000" cy="3050400"/>
                    </a:xfrm>
                    <a:prstGeom prst="rect"/>
                  </pic:spPr>
                </pic:pic>
              </a:graphicData>
            </a:graphic>
          </wp:inline>
        </w:drawing>
      </w:r>
    </w:p>
    <w:p>
      <w:pPr>
        <w:jc w:val="center"/>
      </w:pPr>
      <w:r>
        <w:rPr>
          <w:sz w:val="22"/>
        </w:rPr>
        <w:t>Figura 19 – Mudança individual do vigor e da fadiga (Δ Dia 1 → Dia 7) por atleta, ordenada. A faixa cinza central corresponde à mudança mínima detectável (MDC90); barras fora dela indicam mudança confiável — verde: melhora; vermelho: piora; cinza: dentro do erro de medida.</w:t>
      </w:r>
    </w:p>
    <w:p>
      <w:pPr>
        <w:spacing w:after="120"/>
        <w:jc w:val="center"/>
      </w:pPr>
      <w:r>
        <w:rPr>
          <w:sz w:val="18"/>
        </w:rPr>
        <w:t>Fonte: elaboração dos autores (2026).</w:t>
      </w:r>
    </w:p>
    <w:p>
      <w:pPr>
        <w:spacing w:line="360" w:lineRule="auto" w:after="120"/>
        <w:ind w:firstLine="709"/>
        <w:jc w:val="both"/>
      </w:pPr>
      <w:r>
        <w:rPr>
          <w:b w:val="0"/>
          <w:sz w:val="24"/>
        </w:rPr>
        <w:t>A aplicação do critério de mudança confiável ao nível individual (Tabela 21; Figura 19) matiza o achado de grupo. Embora a equipe tenha derivado no eixo energia–fadiga, a maioria dos atletas manteve-se, individualmente, dentro do erro de medida: apenas 8 dos 21 apresentaram queda de vigor superior à MDC e 7, elevação de fadiga acima dela. Um subconjunto restrito — 3 atletas — reuniu simultaneamente queda confiável de vigor e elevação confiável de fadiga, que representa a assinatura individual mais nítida de sobre-esforço e o grupo que mais claramente demandaria atenção da comissão técnica. Esse contraste entre a resposta média do grupo e a heterogeneidade individual — coerente com a dispersão das inclinações estimada pelo modelo bayesiano — ilustra por que o monitoramento aplicado deve combinar a tendência coletiva com a leitura, atleta a atleta, das mudanças que excedem o erro de medida.</w:t>
      </w:r>
    </w:p>
    <w:p>
      <w:pPr>
        <w:spacing w:before="200" w:after="80" w:line="360" w:lineRule="auto"/>
      </w:pPr>
      <w:r>
        <w:rPr>
          <w:b/>
          <w:sz w:val="24"/>
        </w:rPr>
        <w:t>4 DISCUSSÃO</w:t>
      </w:r>
    </w:p>
    <w:p>
      <w:pPr>
        <w:spacing w:line="360" w:lineRule="auto" w:after="12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 resultado que replica, em outra modalidade e em outra escala temporal, o mesmo eixo de resposta aqui identificado e reforça a leitura de que o par vigor–fadiga constitui o núcleo informativo do painel de humor sob carga.</w:t>
      </w:r>
    </w:p>
    <w:p>
      <w:pPr>
        <w:spacing w:line="360" w:lineRule="auto" w:after="120"/>
        <w:ind w:firstLine="709"/>
        <w:jc w:val="both"/>
      </w:pPr>
      <w:r>
        <w:rPr>
          <w:b w:val="0"/>
          <w:sz w:val="24"/>
        </w:rPr>
        <w:t>Para além de confirmar a deterioração, os resultados detalham a sua dinâmica temporal —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120"/>
        <w:ind w:firstLine="709"/>
        <w:jc w:val="both"/>
      </w:pPr>
      <w:r>
        <w:rPr>
          <w:b w:val="0"/>
          <w:sz w:val="24"/>
        </w:rPr>
        <w:t>Um aspecto metodológico distingue este estudo da tradição descritiva do perfilamento do humor. A literatura clássica caracteriza o humor de atletas por instantâneos — o perfil de um momento —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 uma resposta direta às conhecidas limitações de fidedignidade e de efeito de piso dessas dimensões em amostras de elite (TERRY; LANE; FOGARTY, 2003). A análise psicométrica desta amostra corrobora e explica esse padrão: as quatro dimensões negativas excederam o critério de efeito de piso (de 46% a 79% das observações no escore zero), ao passo que o vigor e a fadiga, distribuídos por toda a escala, não o fizeram (TERWEE et al., 2007). Trata-se de uma expressão esperada do modelo de saúde mental do atleta de elite — o perfil iceberg, com afeto negativo naturalmente baixo (MORGAN, 1985) —, e não de uma falha do instrumento: a compressão da variância junto ao piso reduz a variação possível e, com ela, a sensibilidade estatística à carga, o que legitima interpretar as dimensões negativas com parcimônia e sobretudo como sinalizadoras quando de fato se elevam. Por fim, o cruzamento energia–fadiga, obtido das curvas suavizadas, condensa em um único marcador visual e objetivo o instante em que a fadiga supera o vigor — evento que o acompanhamento diário isolado dificilmente tornaria tão explícito.</w:t>
      </w:r>
    </w:p>
    <w:p>
      <w:pPr>
        <w:spacing w:line="360" w:lineRule="auto" w:after="120"/>
        <w:ind w:firstLine="709"/>
        <w:jc w:val="both"/>
      </w:pPr>
      <w:r>
        <w:rPr>
          <w:b w:val="0"/>
          <w:sz w:val="24"/>
        </w:rPr>
        <w:t>A esse arcabouço somam-se três recursos estatísticos que raramente comparecem à literatura de monitoramento do humor e que reforçam a solidez das conclusões. O modelo bayesiano multinível é o mais consequente: ao dissociar formalmente a componente aguda da crônica com trajetórias por atleta, ele confere intervalos de credibilidade estáveis mesmo com amostra reduzida — onde a máxima verossimilhança encontra dificuldade de convergência — e devolve duas leituras que a análise agregada oculta. A primeira é a partição da variância: o vigor mostrou-se mais um traço (elevada variância entre atletas) e a fadiga, mais um estado (variância sobretudo intraindividual), distinção com consequências diretas para o que cada dimensão sinaliza no monitoramento. A segunda é a heterogeneidade das inclinações: embora o grupo derive na mesma direção, a velocidade da deterioração varia de atleta para atleta, o que fundamenta quantitativamente a vigilância individualizada e dialoga com a recomendação de referências personalizadas no acompanhamento do atleta (McELREATH, 2020; SAW; MAIN; GASTIN, 2016). A rede psicométrica, por sua vez, precisa a natureza da reorganização afetiva: não houve adensamento global da rede, mas um acoplamento seletivo entre fadiga e irritabilidade ao fim da semana, leitura que as correlações par a par não isolam e que a análise de redes tornou central no estudo do afeto (EPSKAMP; FRIED, 2018). Por fim, a convergência com o modelo ordinal de odds proporcionais — que não pressupõe normalidade e respeita o efeito-piso das subescalas — afasta a hipótese de que a deterioração observada seja artefato da escala de medida (LIDDELL; KRUSCHKE, 2018). Em conjunto, essas abordagens elevam o rigor inferencial de um desenho de amostra pequena e ilustram um repertório analítico transferível ao monitoramento intramicrociclo em outros contextos de rendimento.</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 moldura em que os presentes achados se inserem ao detalhar, em alta resolução temporal, a face afetiva dessa resposta ao longo de um microciclo.</w:t>
      </w:r>
    </w:p>
    <w:p>
      <w:pPr>
        <w:spacing w:line="360" w:lineRule="auto" w:after="12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120"/>
        <w:ind w:firstLine="709"/>
        <w:jc w:val="both"/>
      </w:pPr>
      <w:r>
        <w:rPr>
          <w:b w:val="0"/>
          <w:sz w:val="24"/>
        </w:rPr>
        <w:t>No plano dos perfis de humor, o deslocamento de prevalência do iceberg (prontidão) para a barbatana de tubarão (fadiga funcional) ao longo da semana — que a regressão logística de tendência confirmou para o perfil de barbatana de tubarão, cuja chance cresceu cerca de 37% por dia (OR = 1,37 por dia; IC95% exclui 1), ainda que a via categórica do qui-quadrado, de menor potência, não a tenha detectado — reproduz, em um microciclo de handebol, o “derretimento do iceberg” descrito na literatura de sobrecarga (MORGAN, 1985; HAN; PARSONS-SMITH; TERRY, 2020).</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A concentração da resposta no eixo energético — e não nas dimensões de valência emocional —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 capaz de sinalizar o custo do esforço quando os índices periféricos já se normalizaram — e justifica ancorar o monitoramento no eixo energia–fadiga.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120"/>
        <w:ind w:firstLine="709"/>
        <w:jc w:val="both"/>
      </w:pPr>
      <w:r>
        <w:rPr>
          <w:b w:val="0"/>
          <w:sz w:val="24"/>
        </w:rPr>
        <w:t>Algumas limitações delimitam o alcance dos achados. A primeira, e mais importante, é o tamanho amostral (27 atletas), associado a uma única equipe e a um único microciclo: o desenho observacional de fase única não autoriza inferência causal sobre a carga, e a generalização a outras equipes, categorias, sexos e momentos da temporada permanece a confirmar. A segunda diz respeito às dimensões negativas do humor, próximas do piso, com variância e fidedignidade reduzidas — o que limita a leitura das suas pequenas oscilações e restringe a interpretação da parte da rede que as envolve. A terceira é que a conversão dos escores T foi referenciada à própria amostra, e não a tabelas normativas nacionais de atletas, o que recomenda cautela na comparação absoluta de prevalências entre estudos e na classificação estrita dos perfis. Some-se que a inferência no nível individual esbarra no erro de medida: como a mudança mínima detectável é ampla, apenas variações individuais expressivas podem ser afirmadas com segurança. Por fim, parte das análises — a rede psicométrica e o modelo ordinal — tem caráter exploratório e valor sobretudo gerador de hipóteses, dado o número de observações.</w:t>
      </w:r>
    </w:p>
    <w:p>
      <w:pPr>
        <w:spacing w:line="360" w:lineRule="auto" w:after="120"/>
        <w:ind w:firstLine="709"/>
        <w:jc w:val="both"/>
      </w:pPr>
      <w:r>
        <w:rPr>
          <w:b w:val="0"/>
          <w:sz w:val="24"/>
        </w:rPr>
        <w:t>Essas limitações, contudo, são atenuadas por características do desenho e da análise, o que preserva a validade dos achados centrais. A medição duas vezes ao dia gerou 286 observações e permitiu dissociar a resposta aguda do acúmulo crônico; a auditoria de robustez (remoção de atípicos por distância de Mahalanobis) não alterou as conclusões; o modelo bayesiano forneceu intervalos de credibilidade estáveis justamente onde a máxima verossimilhança vacila em amostras pequenas; e a convergência entre o modelo contínuo, o bayesiano e o ordinal indica que a deterioração do eixo energia–fadiga não é artefato de uma escolha analítica particular. Em conjunto, o achado central sustenta-se apesar do tamanho amostral, ainda que a sua extensão a outros contextos dependa de replicação.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 deterioração limitada ao eixo energético, sem instalação dos perfis de risco à saúde mental e sem instalação dos perfis de maior risco à saúde mental —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os correlatos fisiológicos e de bem-estar da resposta de humor — foi submetido a outro periódico; ambos se citam mutuamente.</w:t>
      </w:r>
    </w:p>
    <w:p>
      <w:pPr>
        <w:spacing w:before="200" w:after="80" w:line="360" w:lineRule="auto"/>
      </w:pPr>
      <w:r>
        <w:rPr>
          <w:b/>
          <w:sz w:val="24"/>
        </w:rPr>
        <w:t>REFERÊNCIAS</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EPSKAMP, S.; FRIED, E. I. A tutorial on regularized partial correlation networks. Psychological Methods, v. 23, n. 4, p. 617–634, 2018. DOI: 10.1037/met0000167.</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LIDDELL, T. M.; KRUSCHKE, J. K. Analyzing ordinal data with metric models: what could possibly go wrong? Journal of Experimental Social Psychology, v. 79, p. 328–348, 2018. DOI: 10.1016/j.jesp.2018.08.009.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