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 isto é, se é a capacidade aeróbia ou a anaeróbia que de fato acompanha a fadiga afetiva —,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As propriedades psicométricas das subescalas foram descritas pela consistência interna (alfa de Cronbach), pela assimetria e pelo efeito de piso (presente quando mais de 15% das observações no menor escore; TERWEE et al., 2007).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12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e propriedades psicométricas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60" w:after="40"/>
      </w:pPr>
      <w:r>
        <w:rPr>
          <w:sz w:val="22"/>
        </w:rPr>
        <w:t>Tabela 6 – Propriedades psicométricas das subescalas do BRUMS: consistência interna, efeito de piso e assimetria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α de Cronbach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 no piso (=0)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Assimetria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Efeito de piso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não</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+3,75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sim</w:t>
            </w:r>
          </w:p>
        </w:tc>
      </w:tr>
    </w:tbl>
    <w:p>
      <w:pPr>
        <w:spacing w:after="0"/>
      </w:pPr>
      <w:r>
        <w:rPr>
          <w:i/>
          <w:sz w:val="17"/>
        </w:rPr>
        <w:t>Efeito de piso presente quando &gt; 15% das observações no menor escore (TERWEE et al., 2007).</w:t>
      </w:r>
    </w:p>
    <w:p>
      <w:pPr>
        <w:spacing w:after="120"/>
      </w:pPr>
      <w:r>
        <w:rPr>
          <w:sz w:val="18"/>
        </w:rPr>
        <w:t>Fonte: dados da pesquisa (2026).</w:t>
      </w:r>
    </w:p>
    <w:p>
      <w:pPr>
        <w:spacing w:line="360" w:lineRule="auto" w:after="120"/>
        <w:ind w:firstLine="709"/>
        <w:jc w:val="both"/>
      </w:pPr>
      <w:r>
        <w:rPr>
          <w:b w:val="0"/>
          <w:sz w:val="24"/>
        </w:rPr>
        <w:t>As propriedades psicométricas (Tabela 6) contextualizam a insensibilidade das dimensões negativas. O vigor e a fadiga distribuíram-se por toda a escala, sem efeito de piso (9% e 10% no menor escore) e com consistência interna adequada a boa (α = 0,68 e 0,80). As quatro dimensões negativas, ao contrário, apresentaram forte efeito de piso — de 46% (tensão) a 79% (confusão) das observações no escore zero — e acentuada assimetria positiva, o que comprime a variância e limita, por construção, a sua responsividade à carga; trata-se de uma expressão do perfil mentalmente saudável (iceberg) do atleta de elite, e não de falha do instrumento (MORGAN, 1985; TERWEE et al., 2007). A Perturbação Total do Humor, por ser composta, não sofreu efeito de piso e foi governada pelo eixo energia–fadiga (o vigor e a fadiga explicam 70% da sua variância), o que a mantém sensível à carga.</w:t>
      </w:r>
    </w:p>
    <w:p>
      <w:pPr>
        <w:spacing w:before="120" w:after="80" w:line="360" w:lineRule="auto"/>
      </w:pPr>
      <w:r>
        <w:rPr>
          <w:b/>
          <w:sz w:val="24"/>
        </w:rPr>
        <w:t>3.4 Diferenças entre pré e pós-treino (com tamanho de efeito)</w:t>
      </w:r>
    </w:p>
    <w:p>
      <w:pPr>
        <w:spacing w:before="160" w:after="40"/>
      </w:pPr>
      <w:r>
        <w:rPr>
          <w:sz w:val="22"/>
        </w:rPr>
        <w:t>Tabela 7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7):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8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8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9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9) foi moderada a boa, com os valores mais baixos na raiva e na confusão — dimensões mais reativas dia a dia.</w:t>
      </w:r>
    </w:p>
    <w:p>
      <w:pPr>
        <w:spacing w:line="360" w:lineRule="auto" w:after="120"/>
        <w:ind w:firstLine="709"/>
        <w:jc w:val="both"/>
      </w:pPr>
      <w:r>
        <w:rPr>
          <w:b w:val="0"/>
          <w:sz w:val="24"/>
        </w:rPr>
        <w:t>Os limiares de mudança do humor delimitam o alcance da leitura individual. O erro-padrão de medida foi de 2,3 ponto no vigor e 2,5 na fadiga (escala 0–16), de modo que a mudança mínima detectável — a menor variação individual distinguível do erro de medida —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10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10;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11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11;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12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12.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13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13;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14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14;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12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 ou seja, os atletas menos aptos concentraram mais dias críticos —,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15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15;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16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16)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17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17;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18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120"/>
        <w:ind w:firstLine="709"/>
        <w:jc w:val="both"/>
      </w:pPr>
      <w:r>
        <w:rPr>
          <w:b w:val="0"/>
          <w:sz w:val="24"/>
        </w:rPr>
        <w:t>Para além do contraste bivariado, uma análise de comunalidade e dominância decompôs a variância explicada da fadiga e do vigor entre os três candidatos físicos — aptidão aeróbia, capacidade anaeróbia e massa corporal — e quantificou o que cada um contribui de forma única e o que partilham entre si (Tabela 18).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 e não se atenua — ao controlar o porte, em consonância com o ajuste alométrico. A capacidade anaeróbia, novamente, é irrelevante (0,010). A decomposição, portanto, sustenta quantitativamente que é a aptidão aeróbia — e não a anaeróbia nem a massa —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19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19; Figura 12).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 e não a anaeróbia —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 evidência direta de que o aparente vínculo do porte com a fadiga é aptidão aeróbia sob outro nome —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 sempre discutível —,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delimitam o alcance dos achados. A primeira é o tamanho amostral (27 atletas), circunscrito a uma única equipe e a um único microciclo: o desenho observacional de fase única não autoriza inferência causal, e as associações entre aptidão e humor são, por natureza, transversais. A segunda é que o limiar de pico de velocidade foi derivado na própria amostra; embora a curva de especificação ateste a sua robustez a escolhas analíticas, o seu desempenho preditivo ainda requer validação externa antes do uso clínico. A terceira, e relevante para a interpretação da dose-resposta, é que a carga interna foi registrada apenas no contexto do teste de campo, e não continuamente ao longo dos sete dias; por isso não foi possível modelar o gradiente dose-resposta intramicrociclo entre a carga diária e o humor, e a leitura da modulação fisiológica restringe-se ao gradiente de exposição pela aptidão (pico de velocidade). A essas somam-se limitações de mensuração já assinaladas: o efeito de piso das dimensões negativas, a referência dos escores T à própria amostra (e não a normas nacionais), a versão de 6 itens do Epworth (sem ponto de corte clínico validado) e a PSS-14, cujo horizonte excede o microciclo — razão pela qual sonolência e estresse foram lidos por média semanal, e não por flutuação diária. Convém, ainda, a cautela já apontada quanto ao índice de fadiga do teste de sprints repetidos, de confiabilidade limitada.</w:t>
      </w:r>
    </w:p>
    <w:p>
      <w:pPr>
        <w:spacing w:line="360" w:lineRule="auto" w:after="120"/>
        <w:ind w:firstLine="709"/>
        <w:jc w:val="both"/>
      </w:pPr>
      <w:r>
        <w:rPr>
          <w:b w:val="0"/>
          <w:sz w:val="24"/>
        </w:rPr>
        <w:t>Essas limitações, porém, são atenuadas pela convergência das evidências, o que preserva a validade da conclusão central sobre a especificidade aeróbia. Três abordagens independentes — correlação parcial com controle da massa, ajuste alométrico e análise de comunalidade — apontam para o mesmo resultado, e a curva de especificação mostra que ele não depende de uma escolha particular de corte; a própria ausência de gradiente entre a carga interna do teste e o humor foi reportada de forma transparente, sem sobreinterpretação. Assim, embora a magnitude dos coeficientes deva ser lida com a cautela que o tamanho amostral impõe, a direção e a especificidade do achado sustentam-se sob múltiplas lentes analíticas. Como direções futuras, recomenda-se ampliar a amostra e acompanhar múltiplos microciclos, integrar o humor a marcadores de carga externa e interna mensurados continuamente — o que habilitaria o gradiente dose-resposta aqui inviável —, adotar tabelas normativas e agrupamento semeado (seeded k-means) para a classificação de perfis, validar externamente os limiares de pico de velocidade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TERWEE, C. B. et al. Quality criteria were proposed for measurement properties of health status questionnaires. Journal of Clinical Epidemiology, v. 60, n. 1, p. 34–42, 2007. DOI: 10.1016/j.jclinepi.2006.03.012.</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