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e correlação média entre itens), pela assimetria da distribuição e pela presença de efeito de piso, considerado relevante quando mais de 15% das observações se concentravam no menor escore possível (TERWEE et al., 2007).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à fadiga e à PTH,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 Em caráter exploratório, a estrutura dimensional do humor foi ainda descrita por análise de componentes principais das seis subescalas padronizadas, com retenção dos componentes de autovalor superior a 1 (critério de Kaiser) e interpretação pelas cargas de correlação.</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60" w:after="40"/>
      </w:pPr>
      <w:r>
        <w:rPr>
          <w:sz w:val="22"/>
        </w:rPr>
        <w:t>Tabela 5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 médio entre itens</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considerado presente quando &gt; 15% das observações no menor escore (TERWEE et al., 2007). α = alfa de Cronbach; r médio entre itens = correlação inter-item média.</w:t>
      </w:r>
    </w:p>
    <w:p>
      <w:pPr>
        <w:spacing w:after="120"/>
      </w:pPr>
      <w:r>
        <w:rPr>
          <w:sz w:val="18"/>
        </w:rPr>
        <w:t>Fonte: dados da pesquisa (2026).</w:t>
      </w:r>
    </w:p>
    <w:p>
      <w:pPr>
        <w:spacing w:line="360" w:lineRule="auto" w:after="120"/>
        <w:ind w:firstLine="709"/>
        <w:jc w:val="both"/>
      </w:pPr>
      <w:r>
        <w:rPr>
          <w:b w:val="0"/>
          <w:sz w:val="24"/>
        </w:rPr>
        <w:t>As propriedades psicométricas (Tabela 5) esclarecem por que a resposta se restringiu ao eixo energia–fadiga. O vigor e a fadiga distribuíram-se ao longo de toda a escala, com assimetria próxima de zero (+0,15 e +0,62) e sem efeito de piso (9% e 10% no menor escore), e reuniram consistência interna adequada a boa (α = 0,68 e 0,80). As quatro dimensões negativas, ao contrário, exibiram forte efeito de piso — de 46% (tensão) a 79% (confusão) das observações no escore zero — e acentuada assimetria positiva, o que comprime a variância disponível. Essa compressão repercutiu na consistência interna de modo heterogêneo: a tensão e a confusão tiveram alfa reduzido (α = 0,43 e 0,65), pois a baixa variância enfraquece a covariância entre itens, ao passo que a depressão e a raiva mantiveram alfa elevado (α = 0,85 e 0,87) — quando de fato se elevam, os seus itens variam de forma coerente, ainda que isso ocorra em uma minoria das observações. Em suma, não é a fidedignidade da escala, mas o efeito de piso próprio de uma amostra de elite mentalmente saudável, que limita a sensibilidade das dimensões negativas à carga. A Perturbação Total do Humor (PTH), por ser um índice composto, escapa a essa restrição: distribuiu-se de forma contínua (de -12 a 52; sem efeito de piso) e, sobretudo, foi governada pelo eixo energia–fadiga — o vigor e a fadiga sozinhos explicam 70% da sua variância (R²) —, o que a mantém sensível à carga e explica por que a PTH acompanhou a deterioração ao longo da semana, apesar do piso das dimensões negativas que a integram.</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before="160" w:after="40"/>
      </w:pPr>
      <w:r>
        <w:rPr>
          <w:sz w:val="22"/>
        </w:rPr>
        <w:t>Tabela 9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120"/>
        <w:ind w:firstLine="709"/>
        <w:jc w:val="both"/>
      </w:pPr>
      <w:r>
        <w:rPr>
          <w:b w:val="0"/>
          <w:sz w:val="24"/>
        </w:rPr>
        <w:t>Para orientar a leitura individual, derivaram-se do ICC os limiares de mudança (Tabela 9).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10;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12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12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13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13),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14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14).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15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15).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16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1573846"/>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580000" cy="1573846"/>
                    </a:xfrm>
                    <a:prstGeom prst="rect"/>
                  </pic:spPr>
                </pic:pic>
              </a:graphicData>
            </a:graphic>
          </wp:inline>
        </w:drawing>
      </w:r>
    </w:p>
    <w:p>
      <w:pPr>
        <w:jc w:val="center"/>
      </w:pPr>
      <w:r>
        <w:rPr>
          <w:sz w:val="22"/>
        </w:rPr>
        <w:t>Figura 13 – Ajuste polinomial P(t) das médias diárias do vigor, da fadiga e da Perturbação Total do Humor (PTH), com a derivada P′(t) (taxa de variação) e o ponto de inflexão de cada trajetória.</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16;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 A Perturbação Total do Humor, submetida à mesma modelagem (R² = 0,80), acumulou-se a uma taxa média de 1,28 ponto/dia, com inflexão no mesmo entorno (dia 4); diferentemente do vigor, porém, a sua taxa de variação não desacelerou até o encerramento do microciclo (P′ no Dia 1 = +5,10; no Dia 7 = +6,41), o que revela uma perturbação global em ascensão contínua, sem plateau, até o último dia — coerente com o pico da PTH no Dia 7.</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17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17)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18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18;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19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19).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20 – Modelo bayesiano multinível de curva de crescimento para o vigor, a fadiga e a PTH: estimativas a posteriori (média e intervalo de credibilidade de 95%).</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PTH</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+3,22 [+1,82; +4,62]</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+0,60 [-0,05; +1,23]</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0,49 [0,30; 0,67]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1,21 [0,72; 1,81]</w:t>
            </w:r>
          </w:p>
        </w:tc>
      </w:tr>
    </w:tbl>
    <w:p>
      <w:pPr>
        <w:spacing w:after="0"/>
      </w:pPr>
      <w:r>
        <w:rPr>
          <w:i/>
          <w:sz w:val="17"/>
        </w:rPr>
        <w:t>Estimação por amostrador de Gibbs (semente 2024); intervalos de credibilidade que excluem zero indicam efeito consistente. ICC = proporção da variância atribuível a diferenças entre atletas. PTH em pontos do índice composto (escala distinta das subescalas).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20).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line="360" w:lineRule="auto" w:after="120"/>
        <w:ind w:firstLine="709"/>
        <w:jc w:val="both"/>
      </w:pPr>
      <w:r>
        <w:rPr>
          <w:b w:val="0"/>
          <w:sz w:val="24"/>
        </w:rPr>
        <w:t>Aplicado à Perturbação Total do Humor, o mesmo modelo esclarece a composição do seu movimento e ilustra o ganho de separar sinal e ruído. O choque agudo intrassessão foi robusto (+3,22 ponto por sessão; IC95% +1,82 a +4,62, que exclui o zero), ao passo que a deriva crônica entre dias mostrou-se modesta e imprecisa (+0,60 por dia; IC95% -0,05 a +1,23, que inclui o zero). Isto é, uma vez isolada a oscilação aguda, o acúmulo diário da PTH — embora presente na tendência das médias — não se distingue com segurança do ruído, coerente com a sua razão sinal-ruído inferior à do vigor e da fadiga (sinal de 80% contra 96% e 95%, respectivamente). A PTH é, portanto, sensível sobretudo ao impacto agudo de cada sessão, e a sua leitura crônica exige cautela — um refinamento que apenas a modelagem multinível, ao depurar o sinal do ruído, torna explícito.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21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 verde: melhora; vermelho: piora; cinza: dentro do erro de medida.</w:t>
      </w:r>
    </w:p>
    <w:p>
      <w:pPr>
        <w:spacing w:after="120"/>
        <w:jc w:val="center"/>
      </w:pPr>
      <w:r>
        <w:rPr>
          <w:sz w:val="18"/>
        </w:rPr>
        <w:t>Fonte: elaboração dos autores (2026).</w:t>
      </w:r>
    </w:p>
    <w:p>
      <w:pPr>
        <w:spacing w:line="360" w:lineRule="auto" w:after="120"/>
        <w:ind w:firstLine="709"/>
        <w:jc w:val="both"/>
      </w:pPr>
      <w:r>
        <w:rPr>
          <w:b w:val="0"/>
          <w:sz w:val="24"/>
        </w:rPr>
        <w:t>A aplicação do critério de mudança confiável ao nível individual (Tabela 21;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 3 atletas —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 coerente com a dispersão das inclinações estimada pelo modelo bayesiano — ilustra por que o monitoramento aplicado deve combinar a tendência coletiva com a leitura, atleta a atleta, das mudanças que excedem o erro de medida.</w:t>
      </w:r>
    </w:p>
    <w:p>
      <w:pPr>
        <w:spacing w:before="120" w:after="80" w:line="360" w:lineRule="auto"/>
      </w:pPr>
      <w:r>
        <w:rPr>
          <w:b/>
          <w:sz w:val="24"/>
        </w:rPr>
        <w:t>3.17 Estrutura dimensional: análise de componentes principais (exploratória)</w:t>
      </w:r>
    </w:p>
    <w:p>
      <w:pPr>
        <w:spacing w:before="160" w:after="40"/>
      </w:pPr>
      <w:r>
        <w:rPr>
          <w:sz w:val="22"/>
        </w:rPr>
        <w:t>Tabela 22 – Análise de componentes principais das seis dimensões do BRUMS (padronizadas): variância explicada e cargas de correlação dos dois primeiros componentes.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PC1 (41%)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PC2 (23%)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+0,83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bl>
    <w:p>
      <w:pPr>
        <w:spacing w:after="0"/>
      </w:pPr>
      <w:r>
        <w:rPr>
          <w:i/>
          <w:sz w:val="17"/>
        </w:rPr>
        <w:t>Cargas de correlação (componente × √autovalor). Dois componentes com autovalor &gt; 1 (critério de Kaiser) somam 64% da variância. Análise exploratória: as 286 observações estão aninhadas em atletas.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4860000" cy="3267931"/>
            <wp:docPr id="20" name="Picture 20"/>
            <wp:cNvGraphicFramePr>
              <a:graphicFrameLocks noChangeAspect="1"/>
            </wp:cNvGraphicFramePr>
            <a:graphic>
              <a:graphicData uri="http://schemas.openxmlformats.org/drawingml/2006/picture">
                <pic:pic>
                  <pic:nvPicPr>
                    <pic:cNvPr id="0" name="pca_biplot.png"/>
                    <pic:cNvPicPr/>
                  </pic:nvPicPr>
                  <pic:blipFill>
                    <a:blip r:embed="rId28"/>
                    <a:stretch>
                      <a:fillRect/>
                    </a:stretch>
                  </pic:blipFill>
                  <pic:spPr>
                    <a:xfrm>
                      <a:off x="0" y="0"/>
                      <a:ext cx="4860000" cy="3267931"/>
                    </a:xfrm>
                    <a:prstGeom prst="rect"/>
                  </pic:spPr>
                </pic:pic>
              </a:graphicData>
            </a:graphic>
          </wp:inline>
        </w:drawing>
      </w:r>
    </w:p>
    <w:p>
      <w:pPr>
        <w:jc w:val="center"/>
      </w:pPr>
      <w:r>
        <w:rPr>
          <w:sz w:val="22"/>
        </w:rPr>
        <w:t>Figura 20 – Biplot da análise de componentes principais das seis dimensões do BRUMS. Pontos: observações, coloridas pela Perturbação Total do Humor (PTH); setas: cargas das dimensões (vigor em verde, fadiga em laranja). PC1 = eixo de perturbação geral; PC2 = eixo de ativação.</w:t>
      </w:r>
    </w:p>
    <w:p>
      <w:pPr>
        <w:spacing w:after="120"/>
        <w:jc w:val="center"/>
      </w:pPr>
      <w:r>
        <w:rPr>
          <w:sz w:val="18"/>
        </w:rPr>
        <w:t>Fonte: elaboração dos autores (2026).</w:t>
      </w:r>
    </w:p>
    <w:p>
      <w:pPr>
        <w:spacing w:line="360" w:lineRule="auto" w:after="120"/>
        <w:ind w:firstLine="709"/>
        <w:jc w:val="both"/>
      </w:pPr>
      <w:r>
        <w:rPr>
          <w:b w:val="0"/>
          <w:sz w:val="24"/>
        </w:rPr>
        <w:t>Como leitura exploratória da estrutura latente do humor, uma análise de componentes principais das seis dimensões padronizadas (Tabela 22; Figura 20) resumiu a resposta em dois eixos (autovalor &gt; 1), que juntos explicam 64% da variância. O primeiro componente (41% da variância) reúne, com o mesmo sinal, a depressão, a raiva, a fadiga e a confusão, e opõe-se ao vigor — eis um eixo de perturbação geral do humor, alinhado à Perturbação Total do Humor, cujo gradiente colore o biplot. O segundo (23%) contrasta a tensão e o vigor com a fadiga, à maneira de um eixo de ativação. Essa estrutura corrobora, por uma via independente, a concentração da resposta afetiva: a maior parte da informação do painel condensa-se em um eixo dominante de perturbação, coerente com a decomposição sinal–ruído e com o comportamento da PTH. Cabe, contudo, cautela — as observações estão aninhadas em atletas, de modo que a análise mistura a variância intra e a entre indivíduos e tem valor descritivo, não confirmatório.</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A análise psicométrica desta amostra corrobora e explica esse padrão: as quatro dimensões negativas excederam o critério de efeito de piso (de 46% a 79% das observações no escore zero), ao passo que o vigor e a fadiga, distribuídos por toda a escala, não o fizeram (TERWEE et al., 2007). Trata-se de uma expressão esperada do modelo de saúde mental do atleta de elite — o perfil iceberg, com afeto negativo naturalmente baixo (MORGAN, 1985) —, e não de uma falha do instrumento: a compressão da variância junto ao piso reduz a variação possível e, com ela, a sensibilidade estatística à carga, o que legitima interpretar as dimensões negativas com parcimônia e sobretudo como sinalizadoras quando de fato se elevam.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 a rede psicométrica e o modelo ordinal — tem caráter exploratório e valor sobretudo gerador de hipóteses, dado o número de observações.</w:t>
      </w:r>
    </w:p>
    <w:p>
      <w:pPr>
        <w:spacing w:line="360" w:lineRule="auto" w:after="12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justamente onde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