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seletividade do eixo energia–fadiga que reproduz, num microciclo de handebol, o comportamento já documentado em outras modalidades sob carga,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sprints curtos, saltos, arremessos, bloqueios, mudanças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0"/>
        <w:ind w:firstLine="709"/>
        <w:jc w:val="both"/>
      </w:pPr>
      <w:r>
        <w:rPr>
          <w:b w:val="0"/>
          <w:sz w:val="24"/>
        </w:rPr>
        <w:t>Apesar da ampla adoção da BRUMS, escasseiam descrições detalhadas do comportamento do humor ao longo de um microciclo pré-competitivo de handebol de elite,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perfis e médias em instantâneos,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taxa de variação, aceleração e cruzamento energia–fadiga,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pré e pós-treino,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0"/>
        <w:ind w:firstLine="709"/>
        <w:jc w:val="both"/>
      </w:pPr>
      <w:r>
        <w:rPr>
          <w:b w:val="0"/>
          <w:sz w:val="24"/>
        </w:rPr>
        <w:t>Para aprofundar a inferência sobre a dinâmica temporal, acrescentaram-se três abordagens complementares. Primeiro, ajustou-se um modelo bayesiano multinível de curva de crescimento ao vigor, à fadiga e à PTH,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 Em caráter exploratório, a estrutura dimensional do humor foi ainda descrita por análise de componentes principais das seis subescalas padronizadas, com retenção dos componentes de autovalor superior a 1 (critério de Kaiser) e interpretação pelas cargas de correlação.</w:t>
      </w:r>
    </w:p>
    <w:p>
      <w:pPr>
        <w:spacing w:line="360" w:lineRule="auto" w:after="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de 46% (tensão) a 79% (confusão) das observações no escore zero,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o vigor e a fadiga sozinhos explicam 70% da sua variância (R²),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8) foi moderada a boa, com os valores mais baixos na raiva e na confusão,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na qual, em avaliação momentânea, o iceberg foi o perfil mais prevalente (34,3%) e os perfis de risco os menos prevalentes (barbatana de tubarão 11,6%; iceberg invertido 6,2%; Everest invertido 2,7%),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0"/>
        <w:ind w:firstLine="709"/>
        <w:jc w:val="both"/>
      </w:pPr>
      <w:r>
        <w:rPr>
          <w:b w:val="0"/>
          <w:sz w:val="24"/>
        </w:rPr>
        <w:t>Para testar a migração de perfil como uma tendência ao longo da semana, e não pela via categórica de baixa potência do qui-quadrado,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580000" cy="1573846"/>
                    </a:xfrm>
                    <a:prstGeom prst="rect"/>
                  </pic:spPr>
                </pic:pic>
              </a:graphicData>
            </a:graphic>
          </wp:inline>
        </w:drawing>
      </w:r>
    </w:p>
    <w:p>
      <w:pPr>
        <w:jc w:val="center"/>
      </w:pPr>
      <w:r>
        <w:rPr>
          <w:sz w:val="22"/>
        </w:rPr>
        <w:t>Figura 13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o momento em que a taxa de deterioração deixa de acelerar,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coerente com o pico da PTH no Dia 7.</w:t>
      </w:r>
    </w:p>
    <w:p>
      <w:pPr>
        <w:spacing w:line="360" w:lineRule="auto" w:after="0"/>
        <w:ind w:firstLine="709"/>
        <w:jc w:val="both"/>
      </w:pPr>
      <w:r>
        <w:rPr>
          <w:b w:val="0"/>
          <w:sz w:val="24"/>
        </w:rPr>
        <w:t>A derivada segunda (P″) descreve a aceleração da mudança e a concavidade da trajetória. No vigor, P″ é positiva no início (+2,51), a queda, embora acentuada, desacelera rumo ao meio da semana,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os pontos de interseção das funções ocorrem nos dias 2, 4, 6,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0"/>
        <w:ind w:firstLine="709"/>
        <w:jc w:val="both"/>
      </w:pPr>
      <w:r>
        <w:rPr>
          <w:b w:val="0"/>
          <w:sz w:val="24"/>
        </w:rPr>
        <w:t>Para separar a tendência sistemática (sinal) do ruído de amostragem e obter uma leitura visual mais limpa, cada trajetória diária foi decomposta em uma componente suave, a função polinomial ajustada,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0"/>
        <w:ind w:firstLine="709"/>
        <w:jc w:val="both"/>
      </w:pPr>
      <w:r>
        <w:rPr>
          <w:b w:val="0"/>
          <w:sz w:val="24"/>
        </w:rPr>
        <w:t>Com base nas duas coletas diárias dos dias de treino, a trajetória do grupo foi reconstruída em alta resolução, com 13 pontos temporais,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a fadiga e a PTH: estimativas a posteriori (média e intervalo de credibilidade de 95%).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PTH</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pré→pós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+3,22 [+1,82; +4,62]</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por 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+0,60 [-0,05; +1,23]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0,49 [0,30; 0,67]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1,21 [0,72; 1,81]</w:t>
            </w:r>
          </w:p>
        </w:tc>
      </w:tr>
    </w:tbl>
    <w:p>
      <w:pPr>
        <w:spacing w:after="0"/>
      </w:pPr>
      <w:r>
        <w:rPr>
          <w:i/>
          <w:sz w:val="17"/>
        </w:rPr>
        <w:t>Estimação por amostrador de Gibbs (semente 2024); intervalos de credibilidade que excluem zero indicam efeito consistente. ICC = proporção da variância atribuível a diferenças entre atletas. PTH em pontos do índice composto (escala distinta das subescalas).</w:t>
      </w:r>
    </w:p>
    <w:p>
      <w:pPr>
        <w:spacing w:after="120"/>
      </w:pPr>
      <w:r>
        <w:rPr>
          <w:sz w:val="18"/>
        </w:rPr>
        <w:t>Fonte: dados da pesquisa (2026).</w:t>
      </w:r>
    </w:p>
    <w:p>
      <w:pPr>
        <w:spacing w:line="360" w:lineRule="auto" w:after="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heterogeneidade que o modelo quantifica e que respalda a leitura individualizada do monitoramento.</w:t>
      </w:r>
    </w:p>
    <w:p>
      <w:pPr>
        <w:spacing w:line="360" w:lineRule="auto" w:after="0"/>
        <w:ind w:firstLine="709"/>
        <w:jc w:val="both"/>
      </w:pPr>
      <w:r>
        <w:rPr>
          <w:b w:val="0"/>
          <w:sz w:val="24"/>
        </w:rPr>
        <w:t>Aplicado à Perturbação Total do Humor, o mesmo modelo esclarece a composição do seu movimento e ilustra o ganho de separar sinal e ruído. O choque agudo intrassessão foi robusto (+3,22 ponto por sessão; IC95% +1,82 a +4,62, que exclui o zero), ao passo que a deriva crônica entre dias mostrou-se modesta e imprecisa (+0,60 por dia; IC95% -0,05 a +1,23, que inclui o zero). Isto é, uma vez isolada a oscilação aguda, o acúmulo diário da PTH, embora presente na tendência das médias, não se distingue com segurança do ruído, coerente com a sua razão sinal-ruído inferior à do vigor e da fadiga (sinal de 80% contra 96% e 95%, respectivamente). A PTH é, portanto, sensível sobretudo ao impacto agudo de cada sessão, e a sua leitura crônica exige cautela, um refinamento que apenas a modelagem multinível, ao depurar o sinal do ruído, torna explícito.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refinamento que a leitura por correlações simples não isola e que traduz, no plano da rede, o “fechamento” do perfil de fadiga.</w:t>
      </w:r>
    </w:p>
    <w:p>
      <w:pPr>
        <w:spacing w:line="360" w:lineRule="auto" w:after="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a chance de estar num tercil superior de fadiga mais que dobrou do pré ao pós (OR = 2,25; IC95% 1,43–3,53), enquanto a de vigor caiu na mesma transição (OR = 0,61; IC95% 0,39–0,95),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verde: melhora; vermelho: piora; cinza: dentro do erro de medida.</w:t>
      </w:r>
    </w:p>
    <w:p>
      <w:pPr>
        <w:spacing w:after="120"/>
        <w:jc w:val="center"/>
      </w:pPr>
      <w:r>
        <w:rPr>
          <w:sz w:val="18"/>
        </w:rPr>
        <w:t>Fonte: elaboração dos autores (2026).</w:t>
      </w:r>
    </w:p>
    <w:p>
      <w:pPr>
        <w:spacing w:line="360" w:lineRule="auto" w:after="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3 atletas,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coerente com a dispersão das inclinações estimada pelo modelo bayesiano, ilustra por que o monitoramento aplicado deve combinar a tendência coletiva com a leitura, atleta a atleta, das mudanças que excedem o erro de medida.</w:t>
      </w:r>
    </w:p>
    <w:p>
      <w:pPr>
        <w:spacing w:before="120" w:after="80" w:line="360" w:lineRule="auto"/>
      </w:pPr>
      <w:r>
        <w:rPr>
          <w:b/>
          <w:sz w:val="24"/>
        </w:rPr>
        <w:t>3.17 Estrutura dimensional: análise de componentes principais (exploratória)</w:t>
      </w:r>
    </w:p>
    <w:p>
      <w:pPr>
        <w:spacing w:before="160" w:after="40"/>
      </w:pPr>
      <w:r>
        <w:rPr>
          <w:sz w:val="22"/>
        </w:rPr>
        <w:t>Tabela 22 – Análise de componentes principais das seis dimensões do BRUMS (padronizadas): variância explicada e cargas de correlação dos dois primeiros componentes.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PC1 (41%)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PC2 (23%)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bl>
    <w:p>
      <w:pPr>
        <w:spacing w:after="0"/>
      </w:pPr>
      <w:r>
        <w:rPr>
          <w:i/>
          <w:sz w:val="17"/>
        </w:rPr>
        <w:t>Cargas de correlação (componente × √autovalor). Dois componentes com autovalor &gt; 1 (critério de Kaiser) somam 64% da variância. Análise exploratória: as 286 observações estão aninhadas em atletas.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860000" cy="3267931"/>
            <wp:docPr id="20" name="Picture 20"/>
            <wp:cNvGraphicFramePr>
              <a:graphicFrameLocks noChangeAspect="1"/>
            </wp:cNvGraphicFramePr>
            <a:graphic>
              <a:graphicData uri="http://schemas.openxmlformats.org/drawingml/2006/picture">
                <pic:pic>
                  <pic:nvPicPr>
                    <pic:cNvPr id="0" name="pca_biplot.png"/>
                    <pic:cNvPicPr/>
                  </pic:nvPicPr>
                  <pic:blipFill>
                    <a:blip r:embed="rId28"/>
                    <a:stretch>
                      <a:fillRect/>
                    </a:stretch>
                  </pic:blipFill>
                  <pic:spPr>
                    <a:xfrm>
                      <a:off x="0" y="0"/>
                      <a:ext cx="4860000" cy="3267931"/>
                    </a:xfrm>
                    <a:prstGeom prst="rect"/>
                  </pic:spPr>
                </pic:pic>
              </a:graphicData>
            </a:graphic>
          </wp:inline>
        </w:drawing>
      </w:r>
    </w:p>
    <w:p>
      <w:pPr>
        <w:jc w:val="center"/>
      </w:pPr>
      <w:r>
        <w:rPr>
          <w:sz w:val="22"/>
        </w:rPr>
        <w:t>Figura 20 – Biplot da análise de componentes principais das seis dimensões do BRUMS. Pontos: observações, coloridas pela Perturbação Total do Humor (PTH); setas: cargas das dimensões (vigor em verde, fadiga em laranja). PC1 = eixo de perturbação geral; PC2 = eixo de ativação.</w:t>
      </w:r>
    </w:p>
    <w:p>
      <w:pPr>
        <w:spacing w:after="120"/>
        <w:jc w:val="center"/>
      </w:pPr>
      <w:r>
        <w:rPr>
          <w:sz w:val="18"/>
        </w:rPr>
        <w:t>Fonte: elaboração dos autores (2026).</w:t>
      </w:r>
    </w:p>
    <w:p>
      <w:pPr>
        <w:spacing w:line="360" w:lineRule="auto" w:after="0"/>
        <w:ind w:firstLine="709"/>
        <w:jc w:val="both"/>
      </w:pPr>
      <w:r>
        <w:rPr>
          <w:b w:val="0"/>
          <w:sz w:val="24"/>
        </w:rPr>
        <w:t>Como leitura exploratória da estrutura latente do humor, uma análise de componentes principais das seis dimensões padronizadas (Tabela 22; Figura 20) resumiu a resposta em dois eixos (autovalor &gt; 1), que juntos explicam 64% da variância. O primeiro componente (41% da variância) reúne, com o mesmo sinal, a depressão, a raiva, a fadiga e a confusão, e opõe-se ao vigor, eis um eixo de perturbação geral do humor, alinhado à Perturbação Total do Humor, cujo gradiente colore o biplot. O segundo (23%) contrasta a tensão e o vigor com a fadiga, à maneira de um eixo de ativação. Essa estrutura corrobora, por uma via independente, a concentração da resposta afetiva: a maior parte da informação do painel condensa-se em um eixo dominante de perturbação, coerente com a decomposição sinal–ruído e com o comportamento da PTH. Cabe, contudo, cautela, as observações estão aninhadas em atletas, de modo que a análise mistura a variância intra e a entre indivíduos e tem valor descritivo, não confirmatório.</w:t>
      </w:r>
    </w:p>
    <w:p>
      <w:pPr>
        <w:spacing w:before="200" w:after="80" w:line="360" w:lineRule="auto"/>
      </w:pPr>
      <w:r>
        <w:rPr>
          <w:b/>
          <w:sz w:val="24"/>
        </w:rPr>
        <w:t>4 DISCUSSÃO</w:t>
      </w:r>
    </w:p>
    <w:p>
      <w:pPr>
        <w:spacing w:line="360" w:lineRule="auto" w:after="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resultado que replica, em outra modalidade e em outra escala temporal, o mesmo eixo de resposta aqui identificado e reforça a leitura de que o par vigor–fadiga constitui o núcleo informativo do painel de humor sob carga.</w:t>
      </w:r>
    </w:p>
    <w:p>
      <w:pPr>
        <w:spacing w:line="360" w:lineRule="auto" w:after="0"/>
        <w:ind w:firstLine="709"/>
        <w:jc w:val="both"/>
      </w:pPr>
      <w:r>
        <w:rPr>
          <w:b w:val="0"/>
          <w:sz w:val="24"/>
        </w:rPr>
        <w:t>Para além de confirmar a deterioração, os resultados detalham a sua dinâmica temporal,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0"/>
        <w:ind w:firstLine="709"/>
        <w:jc w:val="both"/>
      </w:pPr>
      <w:r>
        <w:rPr>
          <w:b w:val="0"/>
          <w:sz w:val="24"/>
        </w:rPr>
        <w:t>Um aspecto metodológico distingue este estudo da tradição descritiva do perfilamento do humor. A literatura clássica caracteriza o humor de atletas por instantâneos, o perfil de um momento,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o perfil iceberg, com afeto negativo naturalmente baixo (MORGAN, 1985),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evento que o acompanhamento diário isolado dificilmente tornaria tão explícito.</w:t>
      </w:r>
    </w:p>
    <w:p>
      <w:pPr>
        <w:spacing w:line="360" w:lineRule="auto" w:after="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onde a máxima verossimilhança encontra dificuldade de convergência,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que não pressupõe normalidade e respeita o efeito-piso das subescalas,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moldura em que os presentes achados se inserem ao detalhar, em alta resolução temporal, a face afetiva dessa resposta ao longo de um microciclo.</w:t>
      </w:r>
    </w:p>
    <w:p>
      <w:pPr>
        <w:spacing w:line="360" w:lineRule="auto" w:after="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0"/>
        <w:ind w:firstLine="709"/>
        <w:jc w:val="both"/>
      </w:pPr>
      <w:r>
        <w:rPr>
          <w:b w:val="0"/>
          <w:sz w:val="24"/>
        </w:rPr>
        <w:t>No plano dos perfis de humor, o deslocamento de prevalência do iceberg (prontidão) para a barbatana de tubarão (fadiga funcional) ao longo da semana, que a regressão logística de tendência confirmou para o perfil de barbatana de tubarão, cuja chance cresceu cerca de 37% por dia (OR = 1,37 por dia; IC95% exclui 1), ainda que a via categórica do qui-quadrado, de menor potência, não a tenha detectado, reproduz, em um microciclo de handebol, o “derretimento do iceberg” descrito na literatura de sobrecarga (MORGAN, 1985; HAN; PARSONS-SMITH; TERRY, 2020).</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A concentração da resposta no eixo energético, e não nas dimensões de valência emocional,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capaz de sinalizar o custo do esforço quando os índices periféricos já se normalizaram, e justifica ancorar o monitoramento no eixo energia–fadiga.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com medidas duas vezes ao dia que separam a resposta aguda do acúmulo crônico,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a rede psicométrica e o modelo ordinal, tem caráter exploratório e valor sobretudo gerador de hipóteses, dado o número de observações.</w:t>
      </w:r>
    </w:p>
    <w:p>
      <w:pPr>
        <w:spacing w:line="360" w:lineRule="auto" w:after="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deterioração limitada ao eixo energético, sem instalação dos perfis de risco à saúde mental e sem instalação dos perfis de maior risco à saúde mental,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os correlatos fisiológicos e de bem-estar da resposta de humor,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