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sprints curtos, saltos, arremessos, bloqueios, mudanças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hipótese que este estudo examina.</w:t>
      </w:r>
    </w:p>
    <w:p>
      <w:pPr>
        <w:spacing w:before="120" w:after="80" w:line="360" w:lineRule="auto"/>
      </w:pPr>
      <w:r>
        <w:rPr>
          <w:b/>
          <w:sz w:val="24"/>
        </w:rPr>
        <w:t>1.4 Objetivos e hipóteses</w:t>
      </w:r>
    </w:p>
    <w:p>
      <w:pPr>
        <w:spacing w:line="360" w:lineRule="auto" w:after="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isto é, se é a capacidade aeróbia ou a anaeróbia que de fato acompanha a fadiga afetiva,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e não apenas a intensidade máxima isolada,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que maximiza a soma de sensibilidade e especificidade,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linear, logarítmico (ln do pico de velocidade) e polinomial de 2º grau,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os tercis de sua distribuição,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aptidão aeróbia intermitente (PV), composição corporal, potência de membros inferiores (salto CMJ), sprints repetidos (Baker), sonolência, estresse e carga interna (TRIMP),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Por fim, para integrar a aptidão à trajetória do humor num único modelo, ajustou-se uma regressão bayesiana multinível de curva de crescimento com o pico de velocidade como preditor de nível 2, com a separação entre o seu efeito sobre o nível do humor (intercepto) e o seu efeito sobre a taxa de mudança (interação com o dia), com interceptos e inclinações aleatórios por atleta e estimação por amostrador de Gibbs (prioris conjugadas fracamente informativas; semente 2024), validada contra um modelo misto de máxima verossimilhança restrita (McELREATH,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de 46% (tensão) a 79% (confusão) das observações no escore zero,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9) foi moderada a boa, com os valores mais baixos na raiva e na confusão, dimensões mais reativas dia a dia.</w:t>
      </w:r>
    </w:p>
    <w:p>
      <w:pPr>
        <w:spacing w:line="360" w:lineRule="auto" w:after="0"/>
        <w:ind w:firstLine="709"/>
        <w:jc w:val="both"/>
      </w:pPr>
      <w:r>
        <w:rPr>
          <w:b w:val="0"/>
          <w:sz w:val="24"/>
        </w:rPr>
        <w:t>Os limiares de mudança do humor delimitam o alcance da leitura individual. O erro-padrão de medida foi de 2,3 ponto no vigor e 2,5 na fadiga (escala 0–16), de modo que a mudança mínima detectável, a menor variação individual distinguível do erro de medida,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linear, logarítmico (ln do pico de velocidade) e polinomial de 2º grau,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a probabilidade de um dia de fadiga elevada,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0"/>
        <w:ind w:firstLine="709"/>
        <w:jc w:val="both"/>
      </w:pPr>
      <w:r>
        <w:rPr>
          <w:b w:val="0"/>
          <w:sz w:val="24"/>
        </w:rPr>
        <w:t>Em vez de um único ponto de corte, o pico de velocidade foi ainda estratificado por dois limiares, os tercis de sua distribuição (t₁ = 14,4 km/h; t₂ = 15,1 km/h),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e oferece à comissão técnica uma referência graduada, e não binária, para individualizar a carga e priorizar a recuperação dos atletas menos aptos. Em termos de escolha entre os dois esquemas, o limiar único é preferível quando se deseja uma decisão binária e parcimoniosa, mais estável em amostras pequenas; a estratificação dupla favorece a individualização graduada, com a ressalva de que o seu ganho se concentra em isolar a faixa de alta aptidão (baixo risco), nítido para o vigor (18% de dias críticos) e mais modesto para a fadiga, cujas faixas inferior e intermediária pouco se distinguem (47% e 45%). A curva de especificação, de todo modo, indica que a utilidade do limiar não depende do esquema adotado.</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ou seja, os atletas menos aptos concentraram mais dias críticos,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significativa (ρ = -0,50),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0"/>
        <w:ind w:firstLine="709"/>
        <w:jc w:val="both"/>
      </w:pPr>
      <w:r>
        <w:rPr>
          <w:b w:val="0"/>
          <w:sz w:val="24"/>
        </w:rPr>
        <w:t>Para além do contraste bivariado, uma análise de comunalidade e dominância decompôs a variância explicada da fadiga e do vigor entre os três candidatos físicos, aptidão aeróbia, capacidade anaeróbia e massa corporal,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e não se atenua, ao controlar o porte, em consonância com o ajuste alométrico. A capacidade anaeróbia, novamente, é irrelevante (0,010). A decomposição, portanto, sustenta quantitativamente que é a aptidão aeróbia, e não a anaeróbia nem a massa,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0"/>
        <w:ind w:firstLine="709"/>
        <w:jc w:val="both"/>
      </w:pPr>
      <w:r>
        <w:rPr>
          <w:b w:val="0"/>
          <w:sz w:val="24"/>
        </w:rPr>
        <w:t>Uma questão aplicada relevante é saber quais características do atleta modulam a intensidade da resposta,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todos os coeficientes de determinação foram baixos (R² &lt; 0,09). O choque afetivo intrassessão comporta-se, portanto, como uma resposta estereotipada, compartilhada pelo grupo.</w:t>
      </w:r>
    </w:p>
    <w:p>
      <w:pPr>
        <w:spacing w:line="360" w:lineRule="auto" w:after="0"/>
        <w:ind w:firstLine="709"/>
        <w:jc w:val="both"/>
      </w:pPr>
      <w:r>
        <w:rPr>
          <w:b w:val="0"/>
          <w:sz w:val="24"/>
        </w:rPr>
        <w:t>O efeito crônico (inclinação semanal) exibiu modulação apenas parcial, restrita ao vigor (Tabela 19; Figura 12). A taxa de acúmulo de fadiga foi praticamente idêntica entre os atletas, nenhum moderador explicou fração relevante de sua variância (R² ≤ 0,02),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sobretudo no eixo da fadiga, o que reforça o caráter geral e esperado da reação à carga da pré-temporada.</w:t>
      </w:r>
    </w:p>
    <w:p>
      <w:pPr>
        <w:spacing w:before="120" w:after="80" w:line="360" w:lineRule="auto"/>
      </w:pPr>
      <w:r>
        <w:rPr>
          <w:b/>
          <w:sz w:val="24"/>
        </w:rPr>
        <w:t>3.12 Modelo bayesiano multinível: a aptidão modula o nível, não a taxa</w:t>
      </w:r>
    </w:p>
    <w:p>
      <w:pPr>
        <w:spacing w:before="160" w:after="40"/>
      </w:pPr>
      <w:r>
        <w:rPr>
          <w:sz w:val="22"/>
        </w:rPr>
        <w:t>Tabela 20 – Modelo bayesiano multinível do humor com a aptidão aeróbia (pico de velocidade) como preditor de nível 2: efeito sobre o nível (intercepto) e sobre a taxa (interação com o dia). Estimativas a posteriori (média e IC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Desfecho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nível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taxa (× dia)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-0,46 [-0,98; +0,07]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-0,06 [-0,22; +0,11]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+0,80 [-0,34; +2,02]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[-0,16; +0,30]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-1,09 [-3,74; +1,54]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-0,17 [-0,82; +0,46]</w:t>
            </w:r>
          </w:p>
        </w:tc>
      </w:tr>
    </w:tbl>
    <w:p>
      <w:pPr>
        <w:spacing w:after="0"/>
      </w:pPr>
      <w:r>
        <w:rPr>
          <w:i/>
          <w:sz w:val="17"/>
        </w:rPr>
        <w:t>Modelo y = b0 + b1·dia + b2·(pré/pós) + b3·PV + b4·(PV×dia) + interceptos e inclinações aleatórios por atleta; amostrador de Gibbs (semente 2024). n = 276 observações, 25 atletas. IC que exclui zero indica efeito consistente.</w:t>
      </w:r>
    </w:p>
    <w:p>
      <w:pPr>
        <w:spacing w:after="120"/>
      </w:pPr>
      <w:r>
        <w:rPr>
          <w:sz w:val="18"/>
        </w:rPr>
        <w:t>Fonte: dados da pesquisa (2026).</w:t>
      </w:r>
    </w:p>
    <w:p>
      <w:pPr>
        <w:spacing w:line="360" w:lineRule="auto" w:after="0"/>
        <w:ind w:firstLine="709"/>
        <w:jc w:val="both"/>
      </w:pPr>
      <w:r>
        <w:rPr>
          <w:b w:val="0"/>
          <w:sz w:val="24"/>
        </w:rPr>
        <w:t>Para integrar a aptidão fisiológica à trajetória do humor num único arcabouço, ajustou-se um modelo bayesiano multinível com o pico de velocidade como preditor de nível 2, com a separação entre o seu efeito sobre o nível do humor (intercepto) e o seu efeito sobre a taxa de mudança (interação com o dia) (Tabela 20). O padrão foi consistente entre os desfechos: a aptidão deslocou o nível na direção esperada, mais apto, menos fadiga física (-0,46 [-0,98; +0,07]) e mais vigor (+0,80 [-0,34; +2,02]), embora os intervalos de credibilidade tocassem o zero, o que reflete a imprecisão de estimar um efeito de nível 2 com 25 atletas. Já a interação aptidão × dia foi claramente nula em todos os desfechos (fadiga -0,06 [-0,22; +0,11]; vigor +0,07 [-0,16; +0,30]; PTH -0,17 [-0,82; +0,46]): a aptidão não modulou a taxa de acúmulo do humor ao longo do microciclo. A leitura que emerge, coerente com a análise de moduladores, é que a aptidão aeróbia atua como um fator de nível, fixa a linha de base do estado afetivo, e não como um fator de ritmo: a trajetória de deterioração desenrola-se em velocidade comum ao grupo, independentemente da aptidão (McELREATH, 2020).</w:t>
      </w:r>
    </w:p>
    <w:p>
      <w:pPr>
        <w:spacing w:before="200" w:after="80" w:line="360" w:lineRule="auto"/>
      </w:pPr>
      <w:r>
        <w:rPr>
          <w:b/>
          <w:sz w:val="24"/>
        </w:rPr>
        <w:t>4 DISCUSSÃO</w:t>
      </w:r>
    </w:p>
    <w:p>
      <w:pPr>
        <w:spacing w:line="360" w:lineRule="auto" w:after="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o que sustenta centrar a leitura fisiológica subsequente no par vigor–fadiga.</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e não redundante, em relação à leitura fisiológica.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aptidão, composição corporal, potência, sono, estresse ou carga interna, explicou parcela expressiva da variância, e nenhuma associação resistiu à correção para comparações múltiplas. A taxa de acúmulo de fadiga, em especial, revelou-se homogênea entre os atletas, o que sugere uma resposta obrigatória e comum à carga da pré-temporada,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e não reservada a subgrupos supostamente mais vulneráveis, embora o eixo do vigor mereça atenção adicional nos atletas de perfil mais potente.</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e não a anaeróbia,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pois acelera a recuperação entre as ações e retarda a fadiga,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de atletas menos aptos sob a mesma carga,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0"/>
        <w:ind w:firstLine="709"/>
        <w:jc w:val="both"/>
      </w:pPr>
      <w:r>
        <w:rPr>
          <w:b w:val="0"/>
          <w:sz w:val="24"/>
        </w:rPr>
        <w:t>A contraposição com a capacidade anaeróbia delimita a especificidade dessa relação. O teste de sprints repetidos (Baker), um marcador da capacidade de repetir esforços máximos de curta duração,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não a anaeróbia,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evidência direta de que o aparente vínculo do porte com a fadiga é aptidão aeróbia sob outro nome,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sempre discutível,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cuja qualidade de ajuste foi documentada pelo pseudo-R² de McFadden e pelos critérios de informação, sustentou o limiar de pico de velocidade como ferramenta prática de triagem, com preferência pelo preditor na escala bruta, de leitura mais direta para a comissão técnica.</w:t>
      </w:r>
    </w:p>
    <w:p>
      <w:pPr>
        <w:spacing w:line="360" w:lineRule="auto" w:after="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um argumento a favor da especificidade do achado.</w:t>
      </w:r>
    </w:p>
    <w:p>
      <w:pPr>
        <w:spacing w:line="360" w:lineRule="auto" w:after="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razão pela qual sonolência e estresse foram lidos por média semanal, e não por flutuação diária. Convém, ainda, a cautela já apontada quanto ao índice de fadiga do teste de sprints repetidos, de confiabilidade limitada.</w:t>
      </w:r>
    </w:p>
    <w:p>
      <w:pPr>
        <w:spacing w:line="360" w:lineRule="auto" w:after="0"/>
        <w:ind w:firstLine="709"/>
        <w:jc w:val="both"/>
      </w:pPr>
      <w:r>
        <w:rPr>
          <w:b w:val="0"/>
          <w:sz w:val="24"/>
        </w:rPr>
        <w:t>Essas limitações, porém, são atenuadas pela convergência das evidências, o que preserva a validade da conclusão central sobre a especificidade aeróbia. Três abordagens independentes, correlação parcial com controle da massa, ajuste alométrico e análise de comunalidade,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o que habilitaria o gradiente dose-resposta aqui inviável,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e o seu vínculo aparente decorria do porte corporal,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que combine o humor, a aptidão aeróbia e marcadores de recuperação, centrado no eixo energia–fadiga.</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a dinâmica do humor e a modelagem das trajetórias,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