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duas vezes ao dia por sete dias (456 observações).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-0,95) e a fadiga subiu (d = +0,72), confirmado por MANOVA (Wilks λ = 0,283; p = 0,002). O vigor foi máximo no Dia 1 e a fadiga no Dia 7. Os seis perfis de humor descritos por Terry e Parsons-Smith (iceberg, iceberg invertido, submerso, superfície, Everest invertido e barbatana de tubarão) estiveram representados, e o perfil predominante migrou do iceberg (40% no Dia 1) para a barbatana de tubarão (28% no Dia 7; χ² = 14,58; p = 0,012), sem instalação dos perfis de maior risco à saúde mental (Everest invertido, submerso e iceberg invertido). Maior aptidão associou-se a menos fadiga (ρ = -0,54), com limiar de 14,9 km/h.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e (ix) analisar o T-CAR e o limiar de pico de velocidade.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registro de data e hora, duas vezes por dia de treino — a primeira resposta tomada como pré e a última como pós —, ao longo de sete dias, totalizando 456 observações válidas.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+131%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(19%; d = -0,74)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0,040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0,269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0,936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12,3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0,056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0,23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= 0,022; W = 0,13), a fadiga (p = 0,040; W = 0,12), a tensão (p = 0,039) e a confusão (p =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5,88*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5,82*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7,60*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7 dos 21 pares de dias e a fadiga em 8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Wilks λ = 0,283; F(6,15) = 6,32; p = 0,002; η²ₚ = 0,72.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0,283; F(6,15) = 6,32; p = 0,002; η²ₚ = 0,72). Nos testes univariados com o critério corrigido de Bonferroni (α = 0,008), apenas o vigor (d = -0,95) e a fadiga (d = +0,72) permaneceram significativos — evidenciando que o efeito se concentra no eixo energia–fadiga —, enquanto a tensão (p = 0,014) e a confusão (p = 0,049), significativas apenas sob α = 0,05, não resistiram à correção (Tabela 9; Figura 4). A resposta aguda pré → pós também foi multivariadamente significativa (Wilks λ = 0,423; p = 0,003),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4,70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0,15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4.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+0,20), mas no dia de maior fadiga torna-se forte (ρ = +0,75).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mas com nítida reorganização entre o primeiro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primeiro e no último dia da semana: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migrou do iceberg (40% no Dia 1) para a barbatana de tubarão (28% no Dia 7), com o iceberg caindo para 17% (Figura 11; Tabela 12).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(40%), mas, ao final do microciclo, eleva marcadamente a barbatana de tubarão (28%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-0,54; p = 0,005) e mais vigor (ρ = +0,48; p = 0,015) ao longo da semana (Figura 13). A partir de um modelo que estima a probabilidade de um dia de fadiga elevada em função do pico de velocidade, identificou-se um limiar de aproximadamente 14,9 km/h (área sob a curva = 0,69; sensibilidade = 0,79; especificidade = 0,60): abaixo desse valor, os atletas apresentaram maior probabilidade de dias de fadiga elevada, o que fornece uma referência objetiva para individualizar a carga.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−19%, d = -0,74; fadiga +34%, d = +0,60) quanto na comparação do primeiro ao último dia (vigor d = -0,95; fadiga d = +0,72). A robustez desse achado é sustentada por três abordagens convergentes — o pós-teste do modelo misto comparando todos os dias, o teste de Friedman e a análise multivariada em escores T (Wilks λ = 0,283; F(6,15) = 6,32; p = 0,002; η²ₚ = 0,72). Sob o critério conservador de Bonferroni, apenas o vigor (η²ₚ = 0,49) e a fadiga (η²ₚ = 0,35)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+0,20; raiva × fadiga ρ = +0,14); no dia de maior fadiga (Dia 7), esse acoplamento tornou-se forte (depressão × fadiga ρ = +0,75; raiva × fadiga ρ = +0,64).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a migração do iceberg (prontidão) para a barbatana de tubarão (fadiga funcional) ao longo da semana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(28%)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+0,48; p = 0,015) e menos fadiga física (ρ = -0,54; p = 0,005) ao longo da semana, e um limiar de pico de velocidade de aproximadamente 14,9 km/h discriminou os dias de maior fadiga (área sob a curva = 0,69).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