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1"/>
        </w:rPr>
        <w:t>Tabela. Variação da prevalência dos seis perfis de humor ao longo dos sete dias do microciclo.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Perfil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D3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D5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D6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Δ(D7−D1)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Amplitude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Maior salto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Cochran Q (p)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Iceberg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33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35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-31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31,2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17,7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0,1399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Superfície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23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29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46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+27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34,3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31,2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0,1998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Submerso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15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9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+13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16,1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14,7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0,0203*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Barbatana de tubarão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13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+7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14,3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14,3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0,4729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Everest invertido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-9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14,2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9,3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0,0357*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Iceberg invertido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-6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9,9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9,9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0,7923</w:t>
            </w:r>
          </w:p>
        </w:tc>
      </w:tr>
    </w:tbl>
    <w:p>
      <w:r>
        <w:rPr>
          <w:i/>
          <w:sz w:val="18"/>
        </w:rPr>
        <w:t>Valores em % de atletas classificados em cada perfil por dia. Δ(D7−D1): mudança líquida do primeiro ao último dia (pontos percentuais); Amplitude: máximo − mínimo ao longo da semana; Maior salto: maior variação entre dois dias consecutivos; Cochran Q: teste de homogeneidade da prevalência entre os sete dias (subconjunto balanceado de 19 atletas com registro em todos os dias); * p &lt; 0,05. Os dois maiores movimentos são espelhados — o perfil iceberg cai 31 pp (41% → 10%) e o superfície sobe 27 pp (11% → 38%) —, com o maior salto isolado no D1→D2 (entrada do HIIT).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