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452 respostas ao instrumento, e caracteriza cada subescala nesta população. No dia de repouso o perfil iceberg predominou, com 38,1% das observações, e os três perfis de risco somaram 11,9%. Na véspera da competição o iceberg caiu para 21,7%, a barbatana de tubarão subiu de 0,0% para 26,1% e a faixa de risco alcançou 34,8% das observações. A classificação foi calculada nos sete dias sobre as 452 observações da base, e as curvas do iceberg e da barbatana de tubarão cruzam-se no dia 6,8. Pelo critério de Morgan, aplicado em paralelo sobre escores brutos, a proporção em perfil iceberg caiu de 73,8% para 34,8% ao longo da semana, e a análise da derivada da série mostra que a perda não é gradual: duas quedas ultrapassam o piso de ruído de 10,1 pontos percentuais, a primeira no dia seguinte à sessão inicial de alta intensidade e a segunda na véspera da competição, com um platô entre elas. A decomposição das séries por reamostragem separa duas dinâmicas: a barbatana de tubarão sobe +3,38 pontos percentuais por dia, com intervalo que não contém o zero e R² de 0,77, ao passo que o perfil iceberg tem R² de 0,03 e cai por degrau. Na comparação pareada entre as duas pontas, seis das nove variáveis mudam com intervalo que exclui o zero, com o maior efeito na fadiga física, de dz +1,71; entre os perfis, só a barbatana de tubarão o faz. Quatro das seis subescalas apresentaram efeito piso entre 49,8% e 80,3%,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em populações distintas é o principal argumento a favor da adoção dela como linguagem comum do monitoramento. Os seis perfis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9).</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a ponto de o campo registrar protocolo de revisão sistemática só dos métodos de monitoramento na modalidade (Henze e outros, 2025),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quase todos transversais, e dizem quantos atletas estão em cada perfil, sem dizer quando um atleta migra. Descrever quais perfis predominam nessa semana, em que dias o deslocamento acontece e quanto dele excede a flutuação amostral é o que permite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spacing w:line="240" w:lineRule="auto" w:after="80"/>
        <w:ind w:firstLine="709"/>
        <w:jc w:val="both"/>
      </w:pPr>
      <w:r>
        <w:rPr>
          <w:rFonts w:ascii="Times New Roman" w:hAnsi="Times New Roman"/>
          <w:b w:val="0"/>
          <w:i w:val="0"/>
          <w:color w:val="000000"/>
          <w:sz w:val="24"/>
        </w:rPr>
        <w:t>A base psicométrica do instrumento não se restringe ao contexto brasileiro e sustenta duas propriedades que o presente delineamento exige. A primeira é a validade fatorial em atletas: em 2548 respondentes chineses, dos quais 954 atletas, a análise fatorial confirmatória sustentou a estrutura de seis fatores com invariância de medida nos níveis configural, métrico, forte e estrutural entre os quatro subgrupos, e a comparação de médias latentes mostrou que atletas relatam fadiga mais alta que estudantes sem perda de vigor (Zhang e outros, 2014). Achado semelhante foi obtido em 746 lituanos (Terry e outros, 2022), em 1786 adultos gregos (Vlachopoulos, Lane e Terry, 2023) e em amostra malaia (Lew e outros, 2023). A segunda propriedade é a estabilidade temporal, condição para que sete medidas seguidas sejam interpretadas como variação de estado e não como ruído do instrumento: em 1015 respondentes, os coeficientes de correlação intraclasse de reteste variaram de 0,71 a 0,91 entre as seis subescalas, e a invariância por sexo foi plena (Hasan e Khan, 2022). A ressalva conhecida dessa base é que a distinção empírica entre tensão e depressão nem sempre se sustenta, e adaptações em amostras adolescentes pequenas já propuseram fundir os dois fatores. A ressalva foi verificada nesta amostra e não se confirma: nas 452 observações, a correlação entre tensão e depressão é de 0,18, valor baixo o bastante para que as duas subescalas sejam tratadas como medidas distintas, apesar das trajetórias diárias semelhantes descritas na seção 4.3.</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ocorreu entre 21 e 27 de abril de 2024, por formulário eletrônico, e produziu 452 respostas analisáveis de 27 atletas. O dia 1, domingo de repouso, foi tomado como linha de base: as 42 respostas daquele dia foram todas dadas no período da noite, sem que tivesse havido esforço físico organizado nas horas anteriores. Do dia 2 ao dia 7 a coleta acompanhou a rotina de treino, com respostas antes da primeira sessão, tomadas como medida pré-sessão, entre sessões, e ao fim do dia, tomadas como medida pós-sessão,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 densidade da coleta não foi uniforme, e isso é declarado porque afeta a precisão de cada dia. O número de respostas por dia variou de 42 a 94, e o de atletas de 20 a 27, com média de 1,6 resposta por atleta no dia de linha de base e entre 2,2 e 3,6 nos demais dias. O dia 7 não teve coleta noturna, porque a equipe se deslocou para a competição. Todas as estimativas de média diária agregam primeiro por atleta e só depois por dia, justamente para que essa variação de densidade não pese na média, e o denominador de cada análise está declarado na tabela correspondente.</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 e por isso é calculável em qualquer amostra.</w:t>
      </w:r>
    </w:p>
    <w:p>
      <w:pPr>
        <w:spacing w:line="240" w:lineRule="auto" w:after="80"/>
        <w:ind w:firstLine="709"/>
        <w:jc w:val="both"/>
      </w:pPr>
      <w:r>
        <w:rPr>
          <w:rFonts w:ascii="Times New Roman" w:hAnsi="Times New Roman"/>
          <w:b w:val="0"/>
          <w:i w:val="0"/>
          <w:color w:val="000000"/>
          <w:sz w:val="24"/>
        </w:rPr>
        <w:t>A segunda aplica o critério dos seis perfis, em três passos declarados. No primeiro, os escores das seis subescalas foram convertidos em escore T de média 50 e desvio-padrão 10 contra a média e o desvio-padrão das 452 observações desta amostra. A padronização é interna porque não existem normas de escore T para handebol, e a consequência está declarada na seção 5.8: estes escores T não são comparáveis aos de estudos que padronizam contra normas de população.</w:t>
      </w:r>
    </w:p>
    <w:p>
      <w:pPr>
        <w:spacing w:line="240" w:lineRule="auto" w:after="80"/>
        <w:ind w:firstLine="709"/>
        <w:jc w:val="both"/>
      </w:pPr>
      <w:r>
        <w:rPr>
          <w:rFonts w:ascii="Times New Roman" w:hAnsi="Times New Roman"/>
          <w:b w:val="0"/>
          <w:i w:val="0"/>
          <w:color w:val="000000"/>
          <w:sz w:val="24"/>
        </w:rPr>
        <w:t>No segundo passo, cada observação foi atribuída ao perfil cujo centroide publicado está a menor distância euclidiana quadrática no espaço das seis subescalas. Os centroides são os da Amostra A de Parsons-Smith, Terry e Machin (2017), com 2364 respondentes, reproduzidos na Tabela 8 daquele artigo, e a correspondência entre número de agrupamento e nome de perfil vem da matriz de classificação da Tabela 7 do mesmo artigo, que é diagonal. Nenhum agrupamento foi derivado desta amostra: o tamanho dela não comporta a derivação, e o propósito de usar os seis perfis é justamente falar a linguagem já estabelecida na literatura.</w:t>
      </w:r>
    </w:p>
    <w:p>
      <w:pPr>
        <w:spacing w:line="240" w:lineRule="auto" w:after="80"/>
        <w:ind w:firstLine="709"/>
        <w:jc w:val="both"/>
      </w:pPr>
      <w:r>
        <w:rPr>
          <w:rFonts w:ascii="Times New Roman" w:hAnsi="Times New Roman"/>
          <w:b w:val="0"/>
          <w:i w:val="0"/>
          <w:color w:val="000000"/>
          <w:sz w:val="24"/>
        </w:rPr>
        <w:t>No terceiro passo, a solução foi submetida a análise de sensibilidade por k-médias semeada, que é o procedimento das amostras grandes (Rohlfs, Noce e Wilke, 2024, com 898 atletas): os centroides publicados entram como sementes e o algoritmo itera até convergir. Ele convergiu, com concordância de 81,6% em relação à atribuição por centroide publicado, mas deslocou o centroide do perfil superfície em 15,2 pontos T e o do Everest invertido em 20,5, porque esta amostra tem poucos casos extremos para sustentá-los. Centroides deslocados nessa magnitude deixam de significar o que a literatura definiu, e o rótulo perde a comparabilidade que é a razão de usar os seis perfis. Adotou-se, por isso, a atribuição ao centroide publicado, e a k-médias semeada fica registrada como sensibilidade.</w:t>
      </w:r>
    </w:p>
    <w:p>
      <w:pPr>
        <w:spacing w:line="240" w:lineRule="auto" w:after="80"/>
        <w:ind w:firstLine="709"/>
        <w:jc w:val="both"/>
      </w:pPr>
      <w:r>
        <w:rPr>
          <w:rFonts w:ascii="Times New Roman" w:hAnsi="Times New Roman"/>
          <w:b w:val="0"/>
          <w:i w:val="0"/>
          <w:color w:val="000000"/>
          <w:sz w:val="24"/>
        </w:rPr>
        <w:t>Registra-se, por transparência, o histórico desta classificação. Duas análises anteriores do mesmo conjunto de dados chegaram a distribuições distintas: uma padronizou os escores dentro da amostra e classificou por proximidade a centroide sem declarar quais centroides usou, e outra aplicou uma regra de forma sobre a posição relativa das subescalas em relação à linha de 50. As três séries estão comparadas em AUDITORIA_PERFIS_HUMOR e apontam na mesma direção; o que varia entre elas é a magnitude. A série aqui adotada é a única calculada a partir da base bruta por procedimento inteiramente declarado, e a rotina que a produz está versionada junto com os dados anonimizados.</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oito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a análise das curvas de cada variável e dos pontos em que elas se cruzam; o perfil do grupo em escores T; a decomposição das séries entre tendência e desvio, com a incerteza de cada parte;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10,1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Curvas das variáveis contínuas e pontos de cruzamento</w:t>
      </w:r>
    </w:p>
    <w:p>
      <w:pPr>
        <w:spacing w:line="240" w:lineRule="auto" w:after="80"/>
        <w:ind w:firstLine="709"/>
        <w:jc w:val="both"/>
      </w:pPr>
      <w:r>
        <w:rPr>
          <w:rFonts w:ascii="Times New Roman" w:hAnsi="Times New Roman"/>
          <w:b w:val="0"/>
          <w:i w:val="0"/>
          <w:color w:val="000000"/>
          <w:sz w:val="24"/>
        </w:rPr>
        <w:t>A série diária de cada subescala recebeu o mesmo tratamento aplicado às proporções de perfil, com uma adaptação necessária. O piso de ruído de uma proporção vem do erro-padrão binomial; o de uma média vem do erro-padrão da média, igual ao desvio-padrão da subescala dividido pela raiz do número de atletas que responderam naquele dia. Como o n varia entre os sete dias, o piso de cada variável é a média desses sete erros-padrão. As séries foram suavizadas pelo mesmo filtro binomial de três pontos e derivadas do mesmo modo, e um dia é chamado de dia de choque quando a derivada que parte dele supera o piso da própria série em valor absoluto.</w:t>
      </w:r>
    </w:p>
    <w:p>
      <w:pPr>
        <w:spacing w:line="240" w:lineRule="auto" w:after="80"/>
        <w:ind w:firstLine="709"/>
        <w:jc w:val="both"/>
      </w:pPr>
      <w:r>
        <w:rPr>
          <w:rFonts w:ascii="Times New Roman" w:hAnsi="Times New Roman"/>
          <w:b w:val="0"/>
          <w:i w:val="0"/>
          <w:color w:val="000000"/>
          <w:sz w:val="24"/>
        </w:rPr>
        <w:t>Para comparar variáveis de escalas diferentes, cada série foi também reexpressa em percentual do próprio valor no dia 1, que passa a valer 100. A transformação preserva a forma da curva e torna comparável a magnitude relativa da mudança entre subescalas que partem de patamares muito distintos, o que a escala bruta não permite.</w:t>
      </w:r>
    </w:p>
    <w:p>
      <w:pPr>
        <w:spacing w:line="240" w:lineRule="auto" w:after="80"/>
        <w:ind w:firstLine="709"/>
        <w:jc w:val="both"/>
      </w:pPr>
      <w:r>
        <w:rPr>
          <w:rFonts w:ascii="Times New Roman" w:hAnsi="Times New Roman"/>
          <w:b w:val="0"/>
          <w:i w:val="0"/>
          <w:color w:val="000000"/>
          <w:sz w:val="24"/>
        </w:rPr>
        <w:t>O ponto de cruzamento entre duas curvas foi obtido por interpolação linear sobre as séries suavizadas, entre os dois dias em que a diferença troca de sinal, e é reportado em fração de dia. Um cruzamento visível na figura, porém, não basta para afirmar que duas variáveis trocaram de posição, porque duas curvas próximas podem cruzar-se várias vezes por flutuação amostral. Adotou-se, por isso, um teste explícito de inversão. O limiar de ruído do par é a raiz da soma dos quadrados dos pisos das duas séries, que é o erro-padrão da diferença entre duas médias independentes. A inversão só é dada por estabelecida quando a diferença entre as duas variáveis supera esse limiar tanto no dia 1 quanto no dia 7 e os dois valores têm sinais opostos. Quando apenas uma das pontas supera o limiar, o que a série descreve é divergência a partir de um ponto comum, e não troca de uma ordem previamente estabelecida; quando nenhuma supera, os cruzamentos são oscilação dentro do ruído e não são interpretados. A distinção muda a leitura prática e por isso é reportada em coluna própria na tabela de cruzamentos.</w:t>
      </w:r>
    </w:p>
    <w:p>
      <w:pPr>
        <w:spacing w:line="240" w:lineRule="auto" w:after="80"/>
        <w:ind w:firstLine="709"/>
        <w:jc w:val="both"/>
      </w:pPr>
      <w:r>
        <w:rPr>
          <w:rFonts w:ascii="Times New Roman" w:hAnsi="Times New Roman"/>
          <w:b w:val="0"/>
          <w:i w:val="0"/>
          <w:color w:val="000000"/>
          <w:sz w:val="24"/>
        </w:rPr>
        <w:t>Quatro pares foram definidos a priori, pela leitura clínica que carregam: vigor e fadiga, que formam o eixo energético dos seis perfis e cuja inversão caracteriza a passagem ao perfil barbatana de tubarão; fadiga física e fadiga mental, cuja separação distingue desgaste de carga de desgaste cognitivo; e os pares tensão e raiva e tensão e depressão, que identificam qual afeto negativo domina o quadro em cada momento da semana. Nenhum outro par foi testado, e a escolha foi registrada antes da inspeção das curvas.</w:t>
      </w:r>
    </w:p>
    <w:p>
      <w:pPr>
        <w:pStyle w:val="Heading3"/>
      </w:pPr>
      <w:r>
        <w:t>3.8.8 Perfil do grupo em escores T</w:t>
      </w:r>
    </w:p>
    <w:p>
      <w:pPr>
        <w:spacing w:line="240" w:lineRule="auto" w:after="80"/>
        <w:ind w:firstLine="709"/>
        <w:jc w:val="both"/>
      </w:pPr>
      <w:r>
        <w:rPr>
          <w:rFonts w:ascii="Times New Roman" w:hAnsi="Times New Roman"/>
          <w:b w:val="0"/>
          <w:i w:val="0"/>
          <w:color w:val="000000"/>
          <w:sz w:val="24"/>
        </w:rPr>
        <w:t>A classificação nos seis perfis é feita observação a observação, e por isso a prevalência diária deles exige a base por atleta e por dia. Para os sete dias existe a média diária de cada subescala, e dela se obtém uma leitura complementar: a forma que o perfil do atleta médio assume em cada dia. As duas análises respondem perguntas diferentes e não se substituem, e o texto declara isso em toda ocorrência, porque a média do grupo pode ter forma de iceberg com metade do elenco fora dele.</w:t>
      </w:r>
    </w:p>
    <w:p>
      <w:pPr>
        <w:spacing w:line="240" w:lineRule="auto" w:after="80"/>
        <w:ind w:firstLine="709"/>
        <w:jc w:val="both"/>
      </w:pPr>
      <w:r>
        <w:rPr>
          <w:rFonts w:ascii="Times New Roman" w:hAnsi="Times New Roman"/>
          <w:b w:val="0"/>
          <w:i w:val="0"/>
          <w:color w:val="000000"/>
          <w:sz w:val="24"/>
        </w:rPr>
        <w:t>Cada média diária foi convertida em escore T de média 50 e desvio-padrão 10 contra a média e o desvio-padrão de toda a amostra, que é o mesmo procedimento usado pelo documento de origem para classificar o dia 1 e o dia 7. A padronização é interna, e os escores T daqui não são comparáveis aos de estudos que padronizam contra normas populacionais; foi a mistura desses dois referenciais que produziu a divergência entre séries de classificação registrada na seção 4.9. Como o desvio-padrão do denominador reúne a variância entre atletas e a variância entre dias, e a primeira é maior, a média de um dia se afasta pouco de 50 mesmo quando a mudança na escala bruta é grande: os escores T descrevem a posição do dia dentro da semana, e não a intensidade do estado.</w:t>
      </w:r>
    </w:p>
    <w:p>
      <w:pPr>
        <w:spacing w:line="240" w:lineRule="auto" w:after="80"/>
        <w:ind w:firstLine="709"/>
        <w:jc w:val="both"/>
      </w:pPr>
      <w:r>
        <w:rPr>
          <w:rFonts w:ascii="Times New Roman" w:hAnsi="Times New Roman"/>
          <w:b w:val="0"/>
          <w:i w:val="0"/>
          <w:color w:val="000000"/>
          <w:sz w:val="24"/>
        </w:rPr>
        <w:t>Dois índices resumem cada perfil diário. A amplitude é a distância entre a subescala mais alta e a mais baixa do dia, e mede o quanto o perfil tem forma, sem informar a direção dela: um perfil achatado tem amplitude próxima de zero, e o iceberg e o seu inverso têm amplitude alta com sinais opostos. O eixo energético é a diferença entre vigor e fadiga em unidades T, e informa a direção. O limiar de forma foi fixado no dobro do erro-padrão da média diária, que em unidades de escore T vale exatamente 10 dividido pela raiz do n daquele dia e não depende da subescala, porque a conversão em T já divide pelo desvio-padrão da amostra.</w:t>
      </w:r>
    </w:p>
    <w:p>
      <w:pPr>
        <w:pStyle w:val="Heading3"/>
      </w:pPr>
      <w:r>
        <w:t>3.8.9 Decomposição das séries, incerteza e tendência</w:t>
      </w:r>
    </w:p>
    <w:p>
      <w:pPr>
        <w:spacing w:line="240" w:lineRule="auto" w:after="80"/>
        <w:ind w:firstLine="709"/>
        <w:jc w:val="both"/>
      </w:pPr>
      <w:r>
        <w:rPr>
          <w:rFonts w:ascii="Times New Roman" w:hAnsi="Times New Roman"/>
          <w:b w:val="0"/>
          <w:i w:val="0"/>
          <w:color w:val="000000"/>
          <w:sz w:val="24"/>
        </w:rPr>
        <w:t>Cada série diária, de variável ou de perfil, recebeu três leituras encadeadas: a banda de incerteza em torno de cada ponto, a tendência linear sobre o dia, e a decomposição entre o que a reta explica e o que ela deixa de fora.</w:t>
      </w:r>
    </w:p>
    <w:p>
      <w:pPr>
        <w:spacing w:line="240" w:lineRule="auto" w:after="80"/>
        <w:ind w:firstLine="709"/>
        <w:jc w:val="both"/>
      </w:pPr>
      <w:r>
        <w:rPr>
          <w:rFonts w:ascii="Times New Roman" w:hAnsi="Times New Roman"/>
          <w:b w:val="0"/>
          <w:i w:val="0"/>
          <w:color w:val="000000"/>
          <w:sz w:val="24"/>
        </w:rPr>
        <w:t>A incerteza vem de reamostragem, e a unidade reamostrada é o atleta. Sorteia-se, com reposição, um conjunto de atletas do mesmo tamanho do elenco, e cada atleta sorteado entra com todas as observações dele; a série é então recalculada sobre esse conjunto. O procedimento repete-se 10 mil vezes, com semente fixa e declarada no código, e a banda de 95% é o intervalo entre os percentis 2,5 e 97,5 das séries reamostradas. Reamostrar observações soltas, em vez de atletas, trataria como independentes respostas do mesmo participante e produziria banda estreita demais. A escolha da reamostragem em lugar de distribuição tabelada decorre do tamanho da amostra, da assimetria das distribuições e do efeito piso em quatro das seis subescalas, que violam os pressupostos das fórmulas usuais.</w:t>
      </w:r>
    </w:p>
    <w:p>
      <w:pPr>
        <w:spacing w:line="240" w:lineRule="auto" w:after="80"/>
        <w:ind w:firstLine="709"/>
        <w:jc w:val="both"/>
      </w:pPr>
      <w:r>
        <w:rPr>
          <w:rFonts w:ascii="Times New Roman" w:hAnsi="Times New Roman"/>
          <w:b w:val="0"/>
          <w:i w:val="0"/>
          <w:color w:val="000000"/>
          <w:sz w:val="24"/>
        </w:rPr>
        <w:t>A tendência é a reta de mínimos quadrados da série diária sobre o dia, e a inclinação é reportada em unidades da variável por dia, ou em pontos percentuais por dia no caso dos perfis. O intervalo de confiança da inclinação e a faixa de confiança da própria reta vêm da mesma reamostragem por atleta, de modo que a incerteza da tendência herda a estrutura de medidas repetidas. Uma inclinação é interpretada apenas quando o intervalo dela não contém o zero, e o valor de p reportado é bilateral, obtido da fração de reamostras cuja inclinação tem sinal oposto ao da estimativa.</w:t>
      </w:r>
    </w:p>
    <w:p>
      <w:pPr>
        <w:spacing w:line="240" w:lineRule="auto" w:after="80"/>
        <w:ind w:firstLine="709"/>
        <w:jc w:val="both"/>
      </w:pPr>
      <w:r>
        <w:rPr>
          <w:rFonts w:ascii="Times New Roman" w:hAnsi="Times New Roman"/>
          <w:b w:val="0"/>
          <w:i w:val="0"/>
          <w:color w:val="000000"/>
          <w:sz w:val="24"/>
        </w:rPr>
        <w:t>A decomposição separa a série em duas partes que somam o observado: a reta e o desvio em relação a ela. A fração da variância da série que a reta explica, o R², mede quanto do movimento é monótono. Um R² alto autoriza a leitura de tendência e a projeção do valor de um dia futuro; um R² baixo com derivadas grandes indica deslocamento por degraus, que não admite projeção e exige agir sobre o dia que produz o degrau. As duas situações aparecem nesta amostra e levam a condutas diferentes, o que é a razão de reportar o R² ao lado da inclinação.</w:t>
      </w:r>
    </w:p>
    <w:p>
      <w:pPr>
        <w:spacing w:line="240" w:lineRule="auto" w:after="80"/>
        <w:ind w:firstLine="709"/>
        <w:jc w:val="both"/>
      </w:pPr>
      <w:r>
        <w:rPr>
          <w:rFonts w:ascii="Times New Roman" w:hAnsi="Times New Roman"/>
          <w:b w:val="0"/>
          <w:i w:val="0"/>
          <w:color w:val="000000"/>
          <w:sz w:val="24"/>
        </w:rPr>
        <w:t>Sobre a série suavizada calculam-se ainda a derivada e os pontos de virada. Um ponto de virada é um dia em que a derivada troca de sinal, isto é, um máximo ou um mínimo local. Ele é classificado como sustentado quando ao menos uma das duas derivadas que o formam supera o piso de ruído da série, e apenas os sustentados são interpretados. A qualificação é necessária porque uma série de sete pontos com adesão desigual produz trocas de sinal por acaso com frequência alta, e a inspeção visual não as distingue das reais.</w:t>
      </w:r>
    </w:p>
    <w:p>
      <w:pPr>
        <w:spacing w:line="240" w:lineRule="auto" w:after="80"/>
        <w:ind w:firstLine="709"/>
        <w:jc w:val="both"/>
      </w:pPr>
      <w:r>
        <w:rPr>
          <w:rFonts w:ascii="Times New Roman" w:hAnsi="Times New Roman"/>
          <w:b w:val="0"/>
          <w:i w:val="0"/>
          <w:color w:val="000000"/>
          <w:sz w:val="24"/>
        </w:rPr>
        <w:t>A comparação entre o primeiro e o último dia foi conduzida em duas formas. Para as variáveis contínuas, ela é pareada por atleta e restrita a quem respondeu nos dois dias, com o tamanho de efeito para medidas pareadas e intervalo por reamostragem das diferenças individuais. Para os perfis, ela é a diferença entre as prevalências dos dois dias, em pontos percentuais, com intervalo pela reamostragem por atleta. As duas respondem perguntas distintas: a primeira mede quanto mudou o atleta médio, a segunda quanto mudou a composição do elenco.</w:t>
      </w:r>
    </w:p>
    <w:p>
      <w:pPr>
        <w:pStyle w:val="Heading3"/>
      </w:pPr>
      <w:r>
        <w:t>3.8.10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8,63</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67,48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59,96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16,79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80,31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49,8% e 80,3%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Comportamento de cada variável ao longo da semana</w:t>
      </w:r>
    </w:p>
    <w:p>
      <w:pPr>
        <w:spacing w:line="240" w:lineRule="auto" w:after="80"/>
        <w:ind w:firstLine="0"/>
        <w:jc w:val="both"/>
      </w:pPr>
      <w:r>
        <w:rPr>
          <w:rFonts w:ascii="Times New Roman" w:hAnsi="Times New Roman"/>
          <w:b w:val="0"/>
          <w:i w:val="0"/>
          <w:color w:val="000000"/>
          <w:sz w:val="24"/>
        </w:rPr>
        <w:t>Esta seção descreve o que acontece com cada variável dia a dia, e é o que sustenta a leitura dos perfis nas seções seguintes: um perfil é a combinação de seis subescalas, e a migração entre perfis só ganha explicação quando se sabe qual subescala se moveu, quanto e quando. A Tabela 6 reúne o comportamento das nove variáveis, e a Tabela 7 localiza os pontos em que duas delas trocam de posição.</w:t>
      </w:r>
    </w:p>
    <w:p>
      <w:pPr>
        <w:spacing w:line="240" w:lineRule="auto" w:after="60"/>
        <w:ind w:firstLine="0"/>
        <w:jc w:val="left"/>
      </w:pPr>
      <w:r>
        <w:rPr>
          <w:rFonts w:ascii="Times New Roman" w:hAnsi="Times New Roman"/>
          <w:b w:val="0"/>
          <w:i w:val="0"/>
          <w:color w:val="000000"/>
          <w:sz w:val="20"/>
        </w:rPr>
        <w:t>Tabela 6 - Comportamento de cada variável ao longo dos sete dias do microciclo, com o efeito do dia e os dias em que a variação supera o ruído</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η² parcial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 (FDR)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escores vêm da estimativa em dois passos, que agrega primeiro por atleta e só depois por dia. O piso de ruído é o erro-padrão médio da média diária, igual ao desvio-padrão da subescala dividido pela raiz do n de cada dia e promediado na semana. Os dias de choque são aqueles em que a derivada da série suavizada supera esse piso em valor absoluto, identificados pelo dia de origem da variação. O eta² parcial e o p corrigido vêm do modelo misto com intercepto aleatório por atleta. A perturbação total do humor não é subescala e sim escore composto, e por isso aparece em primeiro lugar sem entrar na contagem das seis. Fonte primária: Tabelas 19 e 19 de resultados do relatório completo.</w:t>
      </w:r>
    </w:p>
    <w:p>
      <w:pPr>
        <w:spacing w:line="240" w:lineRule="auto" w:after="80"/>
        <w:ind w:firstLine="709"/>
        <w:jc w:val="both"/>
      </w:pPr>
      <w:r>
        <w:rPr>
          <w:rFonts w:ascii="Times New Roman" w:hAnsi="Times New Roman"/>
          <w:b w:val="0"/>
          <w:i w:val="0"/>
          <w:color w:val="000000"/>
          <w:sz w:val="24"/>
        </w:rPr>
        <w:t>A hierarquia de resposta é nítida e segue a natureza da variável. A perturbação total do humor sobe +6,37 ponto entre o primeiro e o último dia, a fadiga do BRUMS sobe +3,82, a fadiga física +3,35 e o vigor cai −3,38. Essas quatro são as únicas cuja variação total supera com folga o piso de ruído da própria série, e são também as de maior eta² parcial no modelo misto: 0,200 na fadiga física, 0,099 no vigor, 0,098 na fadiga do BRUMS e 0,062 na perturbação total. As quatro subescalas de afeto negativo ficam abaixo: raiva com 0,048, tensão com 0,046, confusão com 0,044 e depressão com 0,020, esta última a única sem efeito do dia que sobreviva à correção. Em outras palavras, o que a semana move é o eixo energético, e não o eixo de sofrimento psíquico.</w:t>
      </w:r>
    </w:p>
    <w:p>
      <w:pPr>
        <w:spacing w:line="240" w:lineRule="auto" w:after="80"/>
        <w:ind w:firstLine="709"/>
        <w:jc w:val="both"/>
      </w:pPr>
      <w:r>
        <w:rPr>
          <w:rFonts w:ascii="Times New Roman" w:hAnsi="Times New Roman"/>
          <w:b w:val="0"/>
          <w:i w:val="0"/>
          <w:color w:val="000000"/>
          <w:sz w:val="24"/>
        </w:rPr>
        <w:t>Duas subescalas se movem na direção favorável, e o achado merece destaque porque contraria a expectativa. A tensão cai −1,28 ponto e a confusão −0,51 ponto do primeiro ao último dia. A queda da tensão é a maior variação favorável de toda a tabela e supera o piso de ruído da própria série. A leitura plausível é que o dia de repouso, por ser também o dia de apresentação e de primeira coleta, carrega a tensão antecipatória da retomada, que se dissipa quando a rotina se instala. Ela não é reposta pela proximidade da estreia, o que contraria a expectativa de que a véspera de competição elevaria a tensão.</w:t>
      </w:r>
    </w:p>
    <w:p>
      <w:pPr>
        <w:spacing w:line="240" w:lineRule="auto" w:after="60"/>
        <w:ind w:firstLine="0"/>
        <w:jc w:val="left"/>
      </w:pPr>
      <w:r>
        <w:rPr>
          <w:rFonts w:ascii="Times New Roman" w:hAnsi="Times New Roman"/>
          <w:b w:val="0"/>
          <w:i w:val="0"/>
          <w:color w:val="000000"/>
          <w:sz w:val="20"/>
        </w:rPr>
        <w:t>Figura 3 - Vigor e fadiga ao longo dos sete dias, com o ponto de inversão (A), e fadiga física e mental, com o ponto de separação (B)</w:t>
      </w:r>
    </w:p>
    <w:p>
      <w:pPr>
        <w:spacing w:after="40"/>
        <w:jc w:val="center"/>
      </w:pPr>
      <w:r>
        <w:drawing>
          <wp:inline xmlns:a="http://schemas.openxmlformats.org/drawingml/2006/main" xmlns:pic="http://schemas.openxmlformats.org/drawingml/2006/picture">
            <wp:extent cx="5903999" cy="2706721"/>
            <wp:docPr id="3" name="Picture 3"/>
            <wp:cNvGraphicFramePr>
              <a:graphicFrameLocks noChangeAspect="1"/>
            </wp:cNvGraphicFramePr>
            <a:graphic>
              <a:graphicData uri="http://schemas.openxmlformats.org/drawingml/2006/picture">
                <pic:pic>
                  <pic:nvPicPr>
                    <pic:cNvPr id="0" name="a1_curvas_energia.png"/>
                    <pic:cNvPicPr/>
                  </pic:nvPicPr>
                  <pic:blipFill>
                    <a:blip r:embed="rId11"/>
                    <a:stretch>
                      <a:fillRect/>
                    </a:stretch>
                  </pic:blipFill>
                  <pic:spPr>
                    <a:xfrm>
                      <a:off x="0" y="0"/>
                      <a:ext cx="5903999" cy="270672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par vigor e fadiga é o eixo energético dos seis perfis, e o comportamento dele ao longo da semana é o achado temporal central deste estudo (Figura 3, painel A). No dia de repouso o vigor supera a fadiga em 4,26 pontos, separação muito acima do limiar de ruído do par, de 1,03 pontos. Na véspera da competição a relação está invertida, e a fadiga supera o vigor em 2,94 pontos, também acima do limiar. As duas pontas superam o ruído e têm sinais opostos, e por isso a inversão é dada por estabelecida pelo critério da seção 3.8.7. O cruzamento das curvas suavizadas ocorre no dia 3,93, isto é, praticamente sobre o segundo dia de jogo. A partir dali a equipe passa a semana com mais fadiga do que vigor declarados, condição que é a definição do perfil barbatana de tubarão e explica a migração descrita na seção 4.5.</w:t>
      </w:r>
    </w:p>
    <w:p>
      <w:pPr>
        <w:spacing w:line="240" w:lineRule="auto" w:after="80"/>
        <w:ind w:firstLine="709"/>
        <w:jc w:val="both"/>
      </w:pPr>
      <w:r>
        <w:rPr>
          <w:rFonts w:ascii="Times New Roman" w:hAnsi="Times New Roman"/>
          <w:b w:val="0"/>
          <w:i w:val="0"/>
          <w:color w:val="000000"/>
          <w:sz w:val="24"/>
        </w:rPr>
        <w:t>O painel B da Figura 3 separa a fadiga em suas duas componentes e mostra que elas não caminham juntas. A fadiga física sobe +3,35 ponto ao longo da semana, com eta² parcial de 0,200, o maior de todas as variáveis do estudo. A fadiga mental sobe apenas +0,19 ponto, variação inferior ao piso de ruído da série, de 0,80 ponto, e com o segundo menor eta² do conjunto. As duas curvas partem praticamente do mesmo ponto, separadas por 0,52 ponto, valor abaixo do limiar de ruído de 1,14, e terminam a 2,65 pontos uma da outra. O teste da seção 3.8.7 classifica isso como divergência a partir de ponto comum, e não como inversão: as duas não trocam de posição, elas se afastam. A leitura prática é que a carga da semana produz desgaste físico sem custo mental proporcional, o que é o padrão esperado de uma pré-temporada bem conduzida e afasta, para esta equipe, a hipótese de fadiga mental acumulada.</w:t>
      </w:r>
    </w:p>
    <w:p>
      <w:pPr>
        <w:spacing w:line="240" w:lineRule="auto" w:after="60"/>
        <w:ind w:firstLine="0"/>
        <w:jc w:val="left"/>
      </w:pPr>
      <w:r>
        <w:rPr>
          <w:rFonts w:ascii="Times New Roman" w:hAnsi="Times New Roman"/>
          <w:b w:val="0"/>
          <w:i w:val="0"/>
          <w:color w:val="000000"/>
          <w:sz w:val="20"/>
        </w:rPr>
        <w:t>Figura 4 - As quatro subescalas de afeto negativo ao longo da semana (A) e a perturbação total do humor com a faixa de erro-padrão da média (B)</w:t>
      </w:r>
    </w:p>
    <w:p>
      <w:pPr>
        <w:spacing w:after="40"/>
        <w:jc w:val="center"/>
      </w:pPr>
      <w:r>
        <w:drawing>
          <wp:inline xmlns:a="http://schemas.openxmlformats.org/drawingml/2006/main" xmlns:pic="http://schemas.openxmlformats.org/drawingml/2006/picture">
            <wp:extent cx="5903999" cy="2738848"/>
            <wp:docPr id="4" name="Picture 4"/>
            <wp:cNvGraphicFramePr>
              <a:graphicFrameLocks noChangeAspect="1"/>
            </wp:cNvGraphicFramePr>
            <a:graphic>
              <a:graphicData uri="http://schemas.openxmlformats.org/drawingml/2006/picture">
                <pic:pic>
                  <pic:nvPicPr>
                    <pic:cNvPr id="0" name="a1_curvas_negativas.png"/>
                    <pic:cNvPicPr/>
                  </pic:nvPicPr>
                  <pic:blipFill>
                    <a:blip r:embed="rId12"/>
                    <a:stretch>
                      <a:fillRect/>
                    </a:stretch>
                  </pic:blipFill>
                  <pic:spPr>
                    <a:xfrm>
                      <a:off x="0" y="0"/>
                      <a:ext cx="5903999" cy="273884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As quatro subescalas de afeto negativo aparecem na Figura 4, painel A, e o traço comum a elas é a escala: nenhuma passa de 2,6 pontos em média, em um instrumento que vai a 16. Elas descrevem, e é preciso dizê-lo, a variação de uma equipe que praticamente não pontua nessas dimensões, o que é consequência direta do efeito piso documentado na seção 4.1. Dentro dessa faixa estreita, o desenho é de queda até o meio da semana e retomada no fim: tensão, raiva, depressão e confusão atingem o valor mais baixo entre os dias 3 e 5 e sobem nos dois últimos. A raiva é a que mais sobe no trecho final, com dois dias de choque, no dia 5 e no dia 6, e termina em 2,52 pontos, o valor mais alto de toda a semana para essa subescala.</w:t>
      </w:r>
    </w:p>
    <w:p>
      <w:pPr>
        <w:spacing w:line="240" w:lineRule="auto" w:after="80"/>
        <w:ind w:firstLine="709"/>
        <w:jc w:val="both"/>
      </w:pPr>
      <w:r>
        <w:rPr>
          <w:rFonts w:ascii="Times New Roman" w:hAnsi="Times New Roman"/>
          <w:b w:val="0"/>
          <w:i w:val="0"/>
          <w:color w:val="000000"/>
          <w:sz w:val="24"/>
        </w:rPr>
        <w:t>O painel B mostra a perturbação total do humor com a faixa de erro-padrão da média, de 0,80 ponto. A série tem forma de platô com degrau final: os cinco primeiros dias oscilam entre 1,81 e 5,05 pontos, e a série sobe para 8,19 no dia 7. Os três dias de choque da perturbação total estão nos dias 1, 5 e 6, e o do dia 6 é o de maior magnitude. O escore composto reproduz, portanto, o mesmo desenho de deslocamento por choques descrito para os perfis na seção 4.5, e não o de erosão gradual.</w:t>
      </w:r>
    </w:p>
    <w:p>
      <w:pPr>
        <w:spacing w:line="240" w:lineRule="auto" w:after="60"/>
        <w:ind w:firstLine="0"/>
        <w:jc w:val="left"/>
      </w:pPr>
      <w:r>
        <w:rPr>
          <w:rFonts w:ascii="Times New Roman" w:hAnsi="Times New Roman"/>
          <w:b w:val="0"/>
          <w:i w:val="0"/>
          <w:color w:val="000000"/>
          <w:sz w:val="20"/>
        </w:rPr>
        <w:t>Tabela 7 - Pontos de cruzamento entre pares de variáveis ao longo da semana, e teste de inversão estabelecida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Par de variáveis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do cruzamento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1</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Limiar de ruído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Leitura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 e 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3,93, 4,15, 5,17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Inversão estabelecida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 e 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1,87, 3,92, 5,34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Depressão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6,41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da primeira variável do par menos a segunda, na escala original. O limiar de ruído é a raiz da soma dos quadrados dos pisos das duas séries, que é o erro-padrão da diferença entre duas médias. O asterisco marca a diferença que supera esse limiar. A inversão só é dada por estabelecida quando as diferenças do dia 1 e do dia 7 superam o limiar e têm sinais opostos; quando apenas uma das pontas supera, o que a série mostra é divergência a partir de um ponto comum, e não troca de uma ordem previamente estabelecida. O dia do cruzamento vem de interpolação linear sobre as séries suavizadas e é reportado em fração de dia.</w:t>
      </w:r>
    </w:p>
    <w:p>
      <w:pPr>
        <w:spacing w:line="240" w:lineRule="auto" w:after="80"/>
        <w:ind w:firstLine="709"/>
        <w:jc w:val="both"/>
      </w:pPr>
      <w:r>
        <w:rPr>
          <w:rFonts w:ascii="Times New Roman" w:hAnsi="Times New Roman"/>
          <w:b w:val="0"/>
          <w:i w:val="0"/>
          <w:color w:val="000000"/>
          <w:sz w:val="24"/>
        </w:rPr>
        <w:t>A Tabela 7 aplica o teste de inversão aos quatro pares de leitura clínica definidos a priori na seção 3.8.7, e o resultado é sóbrio: dos quatro, apenas o par vigor e fadiga tem inversão estabelecida. O par tensão e raiva cruza três vezes ao longo da semana, nos dias 1,87, 3,92, 5,34, mas a separação entre as duas curvas no dia 1 é de apenas 0,39 ponto, abaixo do limiar de 0,67. Os três cruzamentos são, por isso, oscilação dentro do ruído, e não trocas de dominância. O par tensão e depressão cruza uma única vez, no dia 6,41, mas a separação final também não supera o limiar. Reportar esses três pares como divergência, e não como inversão, é o que impede que a figura seja lida além do que os dados sustentam.</w:t>
      </w:r>
    </w:p>
    <w:p>
      <w:pPr>
        <w:spacing w:line="240" w:lineRule="auto" w:after="60"/>
        <w:ind w:firstLine="0"/>
        <w:jc w:val="left"/>
      </w:pPr>
      <w:r>
        <w:rPr>
          <w:rFonts w:ascii="Times New Roman" w:hAnsi="Times New Roman"/>
          <w:b w:val="0"/>
          <w:i w:val="0"/>
          <w:color w:val="000000"/>
          <w:sz w:val="20"/>
        </w:rPr>
        <w:t>Figura 5 - Trajetória de todas as variáveis reexpressas em percentual do dia 1 (A) e variação total de cada uma contra o piso de ruído da série (B)</w:t>
      </w:r>
    </w:p>
    <w:p>
      <w:pPr>
        <w:spacing w:after="40"/>
        <w:jc w:val="center"/>
      </w:pPr>
      <w:r>
        <w:drawing>
          <wp:inline xmlns:a="http://schemas.openxmlformats.org/drawingml/2006/main" xmlns:pic="http://schemas.openxmlformats.org/drawingml/2006/picture">
            <wp:extent cx="5903999" cy="2750434"/>
            <wp:docPr id="5" name="Picture 5"/>
            <wp:cNvGraphicFramePr>
              <a:graphicFrameLocks noChangeAspect="1"/>
            </wp:cNvGraphicFramePr>
            <a:graphic>
              <a:graphicData uri="http://schemas.openxmlformats.org/drawingml/2006/picture">
                <pic:pic>
                  <pic:nvPicPr>
                    <pic:cNvPr id="0" name="a1_indice.png"/>
                    <pic:cNvPicPr/>
                  </pic:nvPicPr>
                  <pic:blipFill>
                    <a:blip r:embed="rId13"/>
                    <a:stretch>
                      <a:fillRect/>
                    </a:stretch>
                  </pic:blipFill>
                  <pic:spPr>
                    <a:xfrm>
                      <a:off x="0" y="0"/>
                      <a:ext cx="5903999" cy="275043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5 põe as nove variáveis na mesma régua, cada uma reexpressa em percentual do próprio valor no dia 1. A leitura em percentual corrige a diferença de escala que impede a comparação direta: uma variação de 0,5 ponto significa pouco na fadiga, que parte de 3,52, e muito na confusão, que parte de 1,02. Nessa régua, a perturbação total do humor termina em 451% do valor inicial, a fadiga em 209%, a fadiga física em 180% e o vigor em 56%. As curvas se separam em dois feixes já no segundo dia, e o feixe superior contém apenas o bloco de fadiga e o escore composto que ele domina.</w:t>
      </w:r>
    </w:p>
    <w:p>
      <w:pPr>
        <w:spacing w:line="240" w:lineRule="auto" w:after="80"/>
        <w:ind w:firstLine="709"/>
        <w:jc w:val="both"/>
      </w:pPr>
      <w:r>
        <w:rPr>
          <w:rFonts w:ascii="Times New Roman" w:hAnsi="Times New Roman"/>
          <w:b w:val="0"/>
          <w:i w:val="0"/>
          <w:color w:val="000000"/>
          <w:sz w:val="24"/>
        </w:rPr>
        <w:t>O painel B da Figura 5 confronta a variação total de cada variável com o piso de ruído da própria série, e é o resumo mais direto de toda a seção. Quatro variáveis mudam além do ruído na direção desfavorável, uma muda além do ruído na direção favorável, que é a tensão, e as quatro restantes ficam dentro da faixa em que a variação não é distinguível de flutuação amostral. Nenhuma conclusão deste estudo se apoia nessas quatro.</w:t>
      </w:r>
    </w:p>
    <w:p>
      <w:pPr>
        <w:pStyle w:val="Heading2"/>
      </w:pPr>
      <w:r>
        <w:t>4.4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38,1% das observações, seguido do superfície com 31,0%, do Everest invertido com 4,8%, do iceberg invertido com 7,1%, do submerso com 19,0% e da barbatana de tubarão com 0,0% (Tabela 8). Os três perfis associados a risco à saúde mental somam 11,9% das observações nesse dia.</w:t>
      </w:r>
    </w:p>
    <w:p>
      <w:pPr>
        <w:spacing w:line="240" w:lineRule="auto" w:after="60"/>
        <w:ind w:firstLine="0"/>
        <w:jc w:val="left"/>
      </w:pPr>
      <w:r>
        <w:rPr>
          <w:rFonts w:ascii="Times New Roman" w:hAnsi="Times New Roman"/>
          <w:b w:val="0"/>
          <w:i w:val="0"/>
          <w:color w:val="000000"/>
          <w:sz w:val="20"/>
        </w:rPr>
        <w:t>Tabela 8 -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9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9 -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6 -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218436"/>
            <wp:docPr id="6" name="Picture 6"/>
            <wp:cNvGraphicFramePr>
              <a:graphicFrameLocks noChangeAspect="1"/>
            </wp:cNvGraphicFramePr>
            <a:graphic>
              <a:graphicData uri="http://schemas.openxmlformats.org/drawingml/2006/picture">
                <pic:pic>
                  <pic:nvPicPr>
                    <pic:cNvPr id="0" name="fig_prevalencia.png"/>
                    <pic:cNvPicPr/>
                  </pic:nvPicPr>
                  <pic:blipFill>
                    <a:blip r:embed="rId14"/>
                    <a:stretch>
                      <a:fillRect/>
                    </a:stretch>
                  </pic:blipFill>
                  <pic:spPr>
                    <a:xfrm>
                      <a:off x="0" y="0"/>
                      <a:ext cx="5760000" cy="221843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5.6.</w:t>
      </w:r>
    </w:p>
    <w:p>
      <w:pPr>
        <w:pStyle w:val="Heading2"/>
      </w:pPr>
      <w:r>
        <w:t>4.5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73,8% para 34,8%, perda de 39,0 pontos percentuais, e a de humor perturbado sobe de 50,0% para 71,7%, ganho de 21,7 pontos (Tabela 12). Pela classificação nos seis perfis, no mesmo intervalo, o perfil iceberg recua 16,4 pontos percentuais e a barbatana de tubarão avança 26,1 pontos, que são os dois maiores deslocamentos da distribuição (Tabela 10).</w:t>
      </w:r>
    </w:p>
    <w:p>
      <w:pPr>
        <w:spacing w:line="240" w:lineRule="auto" w:after="60"/>
        <w:ind w:firstLine="0"/>
        <w:jc w:val="left"/>
      </w:pPr>
      <w:r>
        <w:rPr>
          <w:rFonts w:ascii="Times New Roman" w:hAnsi="Times New Roman"/>
          <w:b w:val="0"/>
          <w:i w:val="0"/>
          <w:color w:val="000000"/>
          <w:sz w:val="20"/>
        </w:rPr>
        <w:t>Tabela 10 -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 (38,1)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 (21,7)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(31,0)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(23,9)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(19,0)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 (19,6)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(4,8)</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 (0,0)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 (26,1)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−6,5</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34,8</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+22,9</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73,8% para 34,8% e a de humor perturbado de 50,0% para 71,7%; esse critério não classifica nos seis perfis e é discutido na seção 4.9. Fonte primária: Tabela 12 do estudo de perfil e Tabela 20 do relatório completo.</w:t>
      </w:r>
    </w:p>
    <w:p>
      <w:pPr>
        <w:spacing w:line="240" w:lineRule="auto" w:after="80"/>
        <w:ind w:firstLine="709"/>
        <w:jc w:val="both"/>
      </w:pPr>
      <w:r>
        <w:rPr>
          <w:rFonts w:ascii="Times New Roman" w:hAnsi="Times New Roman"/>
          <w:b w:val="0"/>
          <w:i w:val="0"/>
          <w:color w:val="000000"/>
          <w:sz w:val="24"/>
        </w:rPr>
        <w:t>Os dois dias extremos, porém, não contam a semana inteira. Com a base por atleta e por dia, a classificação foi calculada nos sete dias, e a Tabela 11 traz a série completa. Ela mostra que a trajetória não é monótona: o perfil iceberg cai nos dois primeiros dias, recupera-se até 43,7% no dia 5, e só então despenca para 21,7% na véspera. A barbatana de tubarão faz o percurso inverso e mais regular: parte de 0,0%, isto é, de nenhuma observação no dia de repouso, e sobe em todos os dias até 26,1%.</w:t>
      </w:r>
    </w:p>
    <w:p>
      <w:pPr>
        <w:spacing w:line="240" w:lineRule="auto" w:after="60"/>
        <w:ind w:firstLine="0"/>
        <w:jc w:val="left"/>
      </w:pPr>
      <w:r>
        <w:rPr>
          <w:rFonts w:ascii="Times New Roman" w:hAnsi="Times New Roman"/>
          <w:b w:val="0"/>
          <w:i w:val="0"/>
          <w:color w:val="000000"/>
          <w:sz w:val="20"/>
        </w:rPr>
        <w:t>Tabela 11 - Prevalência diária de cada um dos seis perfis de humor ao longo do microciclo, com o piso de ruído e os dias de choque</w:t>
      </w:r>
    </w:p>
    <w:tbl>
      <w:tblPr>
        <w:tblStyle w:val="TableGrid"/>
        <w:tblW w:type="auto" w:w="0"/>
        <w:jc w:val="center"/>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2</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3</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4</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5</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6</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Semana</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Norma (%)</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Choques</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 (31,9)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 (43,7)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 (42,6)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(31,0)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(12,5)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(23,7)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(11,8)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(23,9)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 (26,4)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(19,7)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(14,7)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(19,6)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(7,4)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(18,1)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(13,6)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(16,2)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(26,1)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(8,5)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1, 3</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Faixas de significado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Favorável</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Neutro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 risco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observações</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59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68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atletas</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20</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23</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22</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21</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cada célula traz o número de observações e, entre parênteses, o percentual daquele dia. A classificação atribui cada observação ao centroide publicado mais próximo sobre escores T internos, conforme a seção 3.7. A coluna de norma traz a prevalência da Amostra A de Parsons-Smith, Terry e Machin (2017), com 2364 respondentes. O piso de ruído é o erro-padrão binomial médio da série, e um dia é de choque quando a derivada que parte dele supera esse piso. As faixas somam perfis com denominadores idênticos e por isso trazem apenas o percentual.</w:t>
      </w:r>
    </w:p>
    <w:p>
      <w:pPr>
        <w:spacing w:line="240" w:lineRule="auto" w:after="60"/>
        <w:ind w:firstLine="0"/>
        <w:jc w:val="left"/>
      </w:pPr>
      <w:r>
        <w:rPr>
          <w:rFonts w:ascii="Times New Roman" w:hAnsi="Times New Roman"/>
          <w:b w:val="0"/>
          <w:i w:val="0"/>
          <w:color w:val="000000"/>
          <w:sz w:val="20"/>
        </w:rPr>
        <w:t>Figura 7 - Prevalência diária de cada um dos seis perfis, com o dia em que o iceberg e a barbatana de tubarão se cruzam (A), e composição do grupo em faixas de significado ao longo da semana (B)</w:t>
      </w:r>
    </w:p>
    <w:p>
      <w:pPr>
        <w:spacing w:after="40"/>
        <w:jc w:val="center"/>
      </w:pPr>
      <w:r>
        <w:drawing>
          <wp:inline xmlns:a="http://schemas.openxmlformats.org/drawingml/2006/main" xmlns:pic="http://schemas.openxmlformats.org/drawingml/2006/picture">
            <wp:extent cx="5903999" cy="2858510"/>
            <wp:docPr id="7" name="Picture 7"/>
            <wp:cNvGraphicFramePr>
              <a:graphicFrameLocks noChangeAspect="1"/>
            </wp:cNvGraphicFramePr>
            <a:graphic>
              <a:graphicData uri="http://schemas.openxmlformats.org/drawingml/2006/picture">
                <pic:pic>
                  <pic:nvPicPr>
                    <pic:cNvPr id="0" name="a1_curva_perfis.png"/>
                    <pic:cNvPicPr/>
                  </pic:nvPicPr>
                  <pic:blipFill>
                    <a:blip r:embed="rId15"/>
                    <a:stretch>
                      <a:fillRect/>
                    </a:stretch>
                  </pic:blipFill>
                  <pic:spPr>
                    <a:xfrm>
                      <a:off x="0" y="0"/>
                      <a:ext cx="5903999" cy="285851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7 mostra as seis curvas. O ponto de encontro entre o perfil iceberg e a barbatana de tubarão ocorre no dia 6,8, isto é, já dentro do último dia, e é o único cruzamento entre os dois na semana. Até ali o iceberg é o perfil mais frequente em todos os dias; a partir dali não é mais. O teste do piso de ruído qualifica a leitura de cada curva: a queda do iceberg concentra-se em um único choque, do dia 6 para o dia 7, e a subida da barbatana de tubarão tem choques nos dias 1, 2, 6. As curvas dos outros quatro perfis permanecem, na maior parte da semana, dentro da faixa em que a variação não é distinguível de flutuação amostral.</w:t>
      </w:r>
    </w:p>
    <w:p>
      <w:pPr>
        <w:spacing w:line="240" w:lineRule="auto" w:after="80"/>
        <w:ind w:firstLine="709"/>
        <w:jc w:val="both"/>
      </w:pPr>
      <w:r>
        <w:rPr>
          <w:rFonts w:ascii="Times New Roman" w:hAnsi="Times New Roman"/>
          <w:b w:val="0"/>
          <w:i w:val="0"/>
          <w:color w:val="000000"/>
          <w:sz w:val="24"/>
        </w:rPr>
        <w:t>O painel B agrega os seis perfis em três faixas: favorável, que reúne o iceberg; neutra, que reúne superfície e submerso; e de risco, que reúne barbatana de tubarão, iceberg invertido e Everest invertido. A faixa favorável cai de 38,1% para 21,7%, a neutra de 50,0% para 43,5% e a de risco sobe de 11,9% para 34,8%, o que quase triplica a proporção inicial. O aumento não se distribui pelos três perfis de risco: ele se concentra na barbatana de tubarão, que passa de 0 para 12 observações e se torna o perfil mais frequente do último dia. O iceberg invertido recua e o Everest invertido fica estável.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12 -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10,1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8 -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8" name="Picture 8"/>
            <wp:cNvGraphicFramePr>
              <a:graphicFrameLocks noChangeAspect="1"/>
            </wp:cNvGraphicFramePr>
            <a:graphic>
              <a:graphicData uri="http://schemas.openxmlformats.org/drawingml/2006/picture">
                <pic:pic>
                  <pic:nvPicPr>
                    <pic:cNvPr id="0" name="a1_sinal.png"/>
                    <pic:cNvPicPr/>
                  </pic:nvPicPr>
                  <pic:blipFill>
                    <a:blip r:embed="rId16"/>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8, mostra que a perda não é gradual. Das seis variações diárias da série suavizada, apenas duas ultrapassam o piso de ruído de 10,1 pontos percentuais: a do dia 1 para o dia 2, de −20,8 pontos, e a do dia 6 para o dia 7, de −11,2 pontos. Entre elas há um platô: as quatro variações intermediárias ficam entre −8,9 e +4,2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4.6 O perfil do grupo em cada dia da semana</w:t>
      </w:r>
    </w:p>
    <w:p>
      <w:pPr>
        <w:spacing w:line="240" w:lineRule="auto" w:after="80"/>
        <w:ind w:firstLine="0"/>
        <w:jc w:val="both"/>
      </w:pPr>
      <w:r>
        <w:rPr>
          <w:rFonts w:ascii="Times New Roman" w:hAnsi="Times New Roman"/>
          <w:b w:val="0"/>
          <w:i w:val="0"/>
          <w:color w:val="000000"/>
          <w:sz w:val="24"/>
        </w:rPr>
        <w:t>A prevalência dos seis perfis é conhecida apenas no dia 1 e no dia 7, porque a classificação é feita observação a observação e a base por atleta e por dia não está disponível. O que existe para os sete dias é a média diária de cada subescala, e dela sai a leitura desta seção: a forma que o perfil do atleta médio assume em cada dia. A distinção é declarada aqui e repetida na nota da Tabela 12, porque as duas coisas não são intercambiáveis: uma média pode ter forma de iceberg com metade do elenco fora dele.</w:t>
      </w:r>
    </w:p>
    <w:p>
      <w:pPr>
        <w:spacing w:line="240" w:lineRule="auto" w:after="60"/>
        <w:ind w:firstLine="0"/>
        <w:jc w:val="left"/>
      </w:pPr>
      <w:r>
        <w:rPr>
          <w:rFonts w:ascii="Times New Roman" w:hAnsi="Times New Roman"/>
          <w:b w:val="0"/>
          <w:i w:val="0"/>
          <w:color w:val="000000"/>
          <w:sz w:val="20"/>
        </w:rPr>
        <w:t>Tabela 13 - Perfil de humor do grupo em escores T em cada dia do microciclo, com a amplitude do perfil e o eixo energético</w:t>
      </w:r>
    </w:p>
    <w:tbl>
      <w:tblPr>
        <w:tblStyle w:val="TableGrid"/>
        <w:tblW w:type="auto" w:w="0"/>
        <w:jc w:val="center"/>
        <w:tblLayout w:type="autofit"/>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Tensão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Depressão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Raiva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Confusão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Amplitude</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 − 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Tem forma</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45,8</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51,2</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escores T de média 50 e desvio-padrão 10, calculados contra a média e o desvio-padrão da própria amostra, conforme a Tabela 2, que é o mesmo procedimento adotado pelo documento de origem para classificar o dia 1 e o dia 7. A padronização é interna e os valores não são comparáveis aos de estudos que padronizam contra normas populacionais. A amplitude é a distância entre a subescala mais alta e a mais baixa do dia, e mede o quanto o perfil tem forma, não a direção dela. O erro-padrão da média diária em unidades T vale 10 dividido pela raiz do n do dia, e não depende da subescala; a coluna final marca os dias em que a amplitude supera o dobro desse erro-padrão, cuja média na semana é de 2,07 pontos. Esta tabela descreve a forma do atleta médio, e não a distribuição dos atletas pelos seis perfis, que é objeto das Tabelas 8 e 10.</w:t>
      </w:r>
    </w:p>
    <w:p>
      <w:pPr>
        <w:spacing w:line="240" w:lineRule="auto" w:after="60"/>
        <w:ind w:firstLine="0"/>
        <w:jc w:val="left"/>
      </w:pPr>
      <w:r>
        <w:rPr>
          <w:rFonts w:ascii="Times New Roman" w:hAnsi="Times New Roman"/>
          <w:b w:val="0"/>
          <w:i w:val="0"/>
          <w:color w:val="000000"/>
          <w:sz w:val="20"/>
        </w:rPr>
        <w:t>Figura 9 - Perfil de humor do grupo em escores T em cada dia (A) e amplitude do perfil e eixo energético ao longo da semana (B)</w:t>
      </w:r>
    </w:p>
    <w:p>
      <w:pPr>
        <w:spacing w:after="40"/>
        <w:jc w:val="center"/>
      </w:pPr>
      <w:r>
        <w:drawing>
          <wp:inline xmlns:a="http://schemas.openxmlformats.org/drawingml/2006/main" xmlns:pic="http://schemas.openxmlformats.org/drawingml/2006/picture">
            <wp:extent cx="5903999" cy="2717495"/>
            <wp:docPr id="9" name="Picture 9"/>
            <wp:cNvGraphicFramePr>
              <a:graphicFrameLocks noChangeAspect="1"/>
            </wp:cNvGraphicFramePr>
            <a:graphic>
              <a:graphicData uri="http://schemas.openxmlformats.org/drawingml/2006/picture">
                <pic:pic>
                  <pic:nvPicPr>
                    <pic:cNvPr id="0" name="a1_perfil_diario.png"/>
                    <pic:cNvPicPr/>
                  </pic:nvPicPr>
                  <pic:blipFill>
                    <a:blip r:embed="rId17"/>
                    <a:stretch>
                      <a:fillRect/>
                    </a:stretch>
                  </pic:blipFill>
                  <pic:spPr>
                    <a:xfrm>
                      <a:off x="0" y="0"/>
                      <a:ext cx="5903999" cy="271749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9 sobrepõe os sete perfis diários. O do dia 1 tem a forma clássica descrita por Morgan: o vigor é a subescala mais alta, com escore T de 56,6, e a fadiga é a mais baixa, com 44,6. O do dia 7 é a imagem espelhada: a fadiga sobe a 54,4 e o vigor cai a 45,8, com a raiva em 53,5 logo atrás da fadiga. Entre um e outro, os perfis dos dias 2 a 6 ficam quase todos dentro da faixa de erro-padrão da média, isto é, sem forma distinguível de uma linha reta sobre o valor 50.</w:t>
      </w:r>
    </w:p>
    <w:p>
      <w:pPr>
        <w:spacing w:line="240" w:lineRule="auto" w:after="80"/>
        <w:ind w:firstLine="709"/>
        <w:jc w:val="both"/>
      </w:pPr>
      <w:r>
        <w:rPr>
          <w:rFonts w:ascii="Times New Roman" w:hAnsi="Times New Roman"/>
          <w:b w:val="0"/>
          <w:i w:val="0"/>
          <w:color w:val="000000"/>
          <w:sz w:val="24"/>
        </w:rPr>
        <w:t>O painel B quantifica essa observação. A amplitude do perfil, definida como a distância entre a subescala mais alta e a mais baixa do dia, vale 12,1 pontos no dia 1 e 8,6 pontos no dia 7, e fica entre 1,3 e 3,6 pontos nos cinco dias intermediários. Apenas o primeiro e o último dia superam o limiar de forma, definido como o dobro do erro-padrão da média diária, que em unidades de escore T vale 10 dividido pela raiz do n do dia e tem média de 2,07 pontos na semana. O perfil do grupo, portanto, não se desloca gradualmente de uma forma para a outra: ele perde a forma no segundo dia, permanece achatado por cinco dias e recompõe forma na véspera da competição, com o sinal invertido.</w:t>
      </w:r>
    </w:p>
    <w:p>
      <w:pPr>
        <w:spacing w:line="240" w:lineRule="auto" w:after="80"/>
        <w:ind w:firstLine="709"/>
        <w:jc w:val="both"/>
      </w:pPr>
      <w:r>
        <w:rPr>
          <w:rFonts w:ascii="Times New Roman" w:hAnsi="Times New Roman"/>
          <w:b w:val="0"/>
          <w:i w:val="0"/>
          <w:color w:val="000000"/>
          <w:sz w:val="24"/>
        </w:rPr>
        <w:t>O eixo energético mede a mesma coisa com sinal. A diferença entre vigor e fadiga em unidades T vale +12,1 pontos no dia 1 e −8,6 no dia 7, e oscila em torno de zero nos dias intermediários. Essa é a mesma inversão descrita na seção 4.3 em escores brutos, agora expressa em unidades comparáveis entre subescalas, e ela concorda com o deslocamento da prevalência descrito na seção 4.5: a forma do dia 7, com o vigor mais baixo e a fadiga mais alta do conjunto, é a definição do perfil barbatana de tubarão, que passa de 0,0% a 26,1% das observações no mesmo intervalo. As duas análises, a de contagem e a de forma, chegam ao mesmo lugar por caminhos independentes.</w:t>
      </w:r>
    </w:p>
    <w:p>
      <w:pPr>
        <w:spacing w:line="240" w:lineRule="auto" w:after="80"/>
        <w:ind w:firstLine="709"/>
        <w:jc w:val="both"/>
      </w:pPr>
      <w:r>
        <w:rPr>
          <w:rFonts w:ascii="Times New Roman" w:hAnsi="Times New Roman"/>
          <w:b w:val="0"/>
          <w:i w:val="0"/>
          <w:color w:val="000000"/>
          <w:sz w:val="24"/>
        </w:rPr>
        <w:t>Resta declarar o que esta seção não entrega. A prevalência diária de cada um dos seis perfis, que seria a informação mais útil à comissão técnica, exige classificar cada observação de cada dia, e isso depende de duas coisas ausentes: a base por atleta e por dia, e a declaração explícita dos centroides usados para classificar o dia 1 e o dia 7. A rotina de cálculo está escrita e versionada, e a análise passa a ser um comando assim que as duas existirem. Até lá, a série diária disponível é a do critério de Morgan, com dois estados em vez de seis, apresentada na seção 4.5.</w:t>
      </w:r>
    </w:p>
    <w:p>
      <w:pPr>
        <w:pStyle w:val="Heading2"/>
      </w:pPr>
      <w:r>
        <w:t>4.7 Decomposição das séries: tendência, ruído e viradas</w:t>
      </w:r>
    </w:p>
    <w:p>
      <w:pPr>
        <w:spacing w:line="240" w:lineRule="auto" w:after="80"/>
        <w:ind w:firstLine="0"/>
        <w:jc w:val="both"/>
      </w:pPr>
      <w:r>
        <w:rPr>
          <w:rFonts w:ascii="Times New Roman" w:hAnsi="Times New Roman"/>
          <w:b w:val="0"/>
          <w:i w:val="0"/>
          <w:color w:val="000000"/>
          <w:sz w:val="24"/>
        </w:rPr>
        <w:t>As seções anteriores descreveram cada série pela sua forma. Esta separa, em cada uma delas, o que é tendência do que é desvio, e acompanha cada parte de um intervalo de confiança. O objetivo é responder a uma pergunta que a inspeção visual não responde: quando uma variável muda ao longo da semana, ela muda de modo regular, caso em que a reta descreve o movimento, ou muda por degraus, caso em que a reta é enganosa e a derivada é a leitura correta.</w:t>
      </w:r>
    </w:p>
    <w:p>
      <w:pPr>
        <w:spacing w:line="240" w:lineRule="auto" w:after="60"/>
        <w:ind w:firstLine="0"/>
        <w:jc w:val="left"/>
      </w:pPr>
      <w:r>
        <w:rPr>
          <w:rFonts w:ascii="Times New Roman" w:hAnsi="Times New Roman"/>
          <w:b w:val="0"/>
          <w:i w:val="0"/>
          <w:color w:val="000000"/>
          <w:sz w:val="20"/>
        </w:rPr>
        <w:t>Tabela 14 - Decomposição da série de cada variável: reta sobre o dia com intervalo de confiança, fração explicada, piso de ruído, dias de choque e pontos de virada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Inclinação por 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R²</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Viradas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[+0,057; +1,271]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[+0,184; +0,695]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[+0,296; +0,509]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[−0,543; −0,153]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[−0,287; −0,020]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[−0,118; +0,012]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[−0,198; +0,303]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[−0,105; +0,164]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2, 5</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[−0,126; +0,145]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inclinação é de mínimos quadrados sobre o dia, em pontos da escala por dia, e o intervalo de confiança vem de 10 mil reamostragens por atleta, com a semente declarada no método. O R² é a fração da variância da série diária que a reta explica, e mede quanto do movimento é monótono; o restante é o desvio em relação à reta, onde ficam os platôs e as reversões. O piso de ruído é o erro-padrão médio da série pela mesma reamostragem. Um dia é de choque quando a derivada que parte dele supera o piso. Uma virada é um dia em que a derivada troca de sinal, e o asterisco marca a virada sustentada, isto é, aquela em que ao menos uma das duas derivadas supera o piso.</w:t>
      </w:r>
    </w:p>
    <w:p>
      <w:pPr>
        <w:spacing w:line="240" w:lineRule="auto" w:after="60"/>
        <w:ind w:firstLine="0"/>
        <w:jc w:val="left"/>
      </w:pPr>
      <w:r>
        <w:rPr>
          <w:rFonts w:ascii="Times New Roman" w:hAnsi="Times New Roman"/>
          <w:b w:val="0"/>
          <w:i w:val="0"/>
          <w:color w:val="000000"/>
          <w:sz w:val="20"/>
        </w:rPr>
        <w:t>Figura 10 - Decomposição de cada variável ao longo dos sete dias, com a banda de 95% da série, a reta sobre o dia e o intervalo de confiança dela, e os pontos de virada sustentados</w:t>
      </w:r>
    </w:p>
    <w:p>
      <w:pPr>
        <w:spacing w:after="40"/>
        <w:jc w:val="center"/>
      </w:pPr>
      <w:r>
        <w:drawing>
          <wp:inline xmlns:a="http://schemas.openxmlformats.org/drawingml/2006/main" xmlns:pic="http://schemas.openxmlformats.org/drawingml/2006/picture">
            <wp:extent cx="5976000" cy="5022791"/>
            <wp:docPr id="10" name="Picture 10"/>
            <wp:cNvGraphicFramePr>
              <a:graphicFrameLocks noChangeAspect="1"/>
            </wp:cNvGraphicFramePr>
            <a:graphic>
              <a:graphicData uri="http://schemas.openxmlformats.org/drawingml/2006/picture">
                <pic:pic>
                  <pic:nvPicPr>
                    <pic:cNvPr id="0" name="a1_decomposicao_variaveis.png"/>
                    <pic:cNvPicPr/>
                  </pic:nvPicPr>
                  <pic:blipFill>
                    <a:blip r:embed="rId18"/>
                    <a:stretch>
                      <a:fillRect/>
                    </a:stretch>
                  </pic:blipFill>
                  <pic:spPr>
                    <a:xfrm>
                      <a:off x="0" y="0"/>
                      <a:ext cx="5976000" cy="502279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Quatro variáveis têm inclinação cujo intervalo de confiança não contém o zero, e as quatro são do eixo energético. A fadiga do BRUMS sobe +0,437 ponto por dia, com intervalo de [+0,184; +0,695] e R² de 0,70; a fadiga física sobe +0,398 por dia, com o maior R² do conjunto, 0,72; o vigor cai −0,351 por dia; e a perturbação total sobe +0,638. A tensão é a quinta, e a única cuja tendência é favorável: cai −0,148 ponto por dia, com R² de 0,52. Depressão, raiva, confusão e fadiga mental têm intervalo que contém o zero, e para elas a semana não tem direção.</w:t>
      </w:r>
    </w:p>
    <w:p>
      <w:pPr>
        <w:spacing w:line="240" w:lineRule="auto" w:after="80"/>
        <w:ind w:firstLine="709"/>
        <w:jc w:val="both"/>
      </w:pPr>
      <w:r>
        <w:rPr>
          <w:rFonts w:ascii="Times New Roman" w:hAnsi="Times New Roman"/>
          <w:b w:val="0"/>
          <w:i w:val="0"/>
          <w:color w:val="000000"/>
          <w:sz w:val="24"/>
        </w:rPr>
        <w:t>O R² separa os dois regimes anunciados. A fadiga física, com 0,72, e a fadiga do BRUMS, com 0,70, têm a maior parte do movimento capturada por uma reta: elas sobem de modo regular, dia após dia, e a comissão técnica pode projetá-las. A perturbação total, com 0,40, deixa mais da metade da variância fora da reta, e o painel dela na Figura 10 mostra por quê: a série tem platô nos cinco primeiros dias e degrau no fim, e o único dia de choque está no dia 6. Projetar a perturbação total por reta subestimaria o valor da véspera.</w:t>
      </w:r>
    </w:p>
    <w:p>
      <w:pPr>
        <w:spacing w:line="240" w:lineRule="auto" w:after="80"/>
        <w:ind w:firstLine="709"/>
        <w:jc w:val="both"/>
      </w:pPr>
      <w:r>
        <w:rPr>
          <w:rFonts w:ascii="Times New Roman" w:hAnsi="Times New Roman"/>
          <w:b w:val="0"/>
          <w:i w:val="0"/>
          <w:color w:val="000000"/>
          <w:sz w:val="24"/>
        </w:rPr>
        <w:t>As viradas sustentadas são raras, e é isso que se espera de uma série curta lida com critério. Das nove variáveis, apenas a raiva tem uma virada que supera o piso de ruído, um mínimo no dia 5, o dia em que ela cai a 0,61 ponto antes de subir a 2,52 na véspera. As demais viradas visíveis nos painéis ficam abaixo do piso e não são interpretadas. A distinção importa porque uma série de sete pontos com adesão desigual produz muitas trocas de sinal por acaso.</w:t>
      </w:r>
    </w:p>
    <w:p>
      <w:pPr>
        <w:spacing w:line="240" w:lineRule="auto" w:after="60"/>
        <w:ind w:firstLine="0"/>
        <w:jc w:val="left"/>
      </w:pPr>
      <w:r>
        <w:rPr>
          <w:rFonts w:ascii="Times New Roman" w:hAnsi="Times New Roman"/>
          <w:b w:val="0"/>
          <w:i w:val="0"/>
          <w:color w:val="000000"/>
          <w:sz w:val="20"/>
        </w:rPr>
        <w:t>Tabela 15 - Decomposição da série de cada perfil, com os mesmos índices aplicados às prevalências diárias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Inclinação (p.p. por 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R²</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Viradas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[+1,23; +5,56]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[−3,77; +0,36]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 +0,37]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[−2,98; +1,86]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[−2,37; +1,61]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 +1,17]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0,707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definições são as da Tabela 14, aplicadas à prevalência diária de cada perfil, em pontos percentuais. A reamostragem é a mesma, por atleta, de modo que a incerteza da prevalência herda a estrutura de medidas repetidas e não trata como independentes as várias respostas do mesmo participante no mesmo dia.</w:t>
      </w:r>
    </w:p>
    <w:p>
      <w:pPr>
        <w:spacing w:line="240" w:lineRule="auto" w:after="60"/>
        <w:ind w:firstLine="0"/>
        <w:jc w:val="left"/>
      </w:pPr>
      <w:r>
        <w:rPr>
          <w:rFonts w:ascii="Times New Roman" w:hAnsi="Times New Roman"/>
          <w:b w:val="0"/>
          <w:i w:val="0"/>
          <w:color w:val="000000"/>
          <w:sz w:val="20"/>
        </w:rPr>
        <w:t>Figura 11 - Decomposição da prevalência de cada perfil ao longo dos sete dias, com os mesmos elementos da Figura 10</w:t>
      </w:r>
    </w:p>
    <w:p>
      <w:pPr>
        <w:spacing w:after="40"/>
        <w:jc w:val="center"/>
      </w:pPr>
      <w:r>
        <w:drawing>
          <wp:inline xmlns:a="http://schemas.openxmlformats.org/drawingml/2006/main" xmlns:pic="http://schemas.openxmlformats.org/drawingml/2006/picture">
            <wp:extent cx="5976000" cy="3989902"/>
            <wp:docPr id="11" name="Picture 11"/>
            <wp:cNvGraphicFramePr>
              <a:graphicFrameLocks noChangeAspect="1"/>
            </wp:cNvGraphicFramePr>
            <a:graphic>
              <a:graphicData uri="http://schemas.openxmlformats.org/drawingml/2006/picture">
                <pic:pic>
                  <pic:nvPicPr>
                    <pic:cNvPr id="0" name="a1_decomposicao_perfis.png"/>
                    <pic:cNvPicPr/>
                  </pic:nvPicPr>
                  <pic:blipFill>
                    <a:blip r:embed="rId19"/>
                    <a:stretch>
                      <a:fillRect/>
                    </a:stretch>
                  </pic:blipFill>
                  <pic:spPr>
                    <a:xfrm>
                      <a:off x="0" y="0"/>
                      <a:ext cx="5976000" cy="3989902"/>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resultado mais importante desta seção está na Tabela 15, e ele qualifica tudo o que as seções anteriores descreveram. De todos os seis perfis, apenas a barbatana de tubarão tem tendência linear cujo intervalo não contém o zero: ela sobe +3,38 pontos percentuais por dia, com intervalo de [+1,23; +5,56] e R² de 0,77, o mais alto de todas as séries do estudo, de variável ou de perfil.</w:t>
      </w:r>
    </w:p>
    <w:p>
      <w:pPr>
        <w:spacing w:line="240" w:lineRule="auto" w:after="80"/>
        <w:ind w:firstLine="709"/>
        <w:jc w:val="both"/>
      </w:pPr>
      <w:r>
        <w:rPr>
          <w:rFonts w:ascii="Times New Roman" w:hAnsi="Times New Roman"/>
          <w:b w:val="0"/>
          <w:i w:val="0"/>
          <w:color w:val="000000"/>
          <w:sz w:val="24"/>
        </w:rPr>
        <w:t>O perfil iceberg, em contraste, não tem tendência: a inclinação é de −0,62 ponto percentual por dia, com intervalo que contém o zero com folga, e R² de 0,03, isto é, a reta não explica praticamente nada da série. O painel do iceberg na Figura 11 mostra a razão: a prevalência oscila entre 32% e 44% nos seis primeiros dias e cai apenas no sétimo, e o único dia de choque é o dia 6. Os dois perfis que dominam a leitura desta semana, portanto, têm dinâmicas opostas e não são a mesma história vista de dois lados: a barbatana de tubarão cresce por acúmulo, de modo regular e previsível desde o segundo dia, e o iceberg desaba de uma vez, na véspera. Essa distinção não aparece na comparação entre as duas pontas e é o principal ganho de acompanhar os sete dias.</w:t>
      </w:r>
    </w:p>
    <w:p>
      <w:pPr>
        <w:spacing w:line="240" w:lineRule="auto" w:after="80"/>
        <w:ind w:firstLine="709"/>
        <w:jc w:val="both"/>
      </w:pPr>
      <w:r>
        <w:rPr>
          <w:rFonts w:ascii="Times New Roman" w:hAnsi="Times New Roman"/>
          <w:b w:val="0"/>
          <w:i w:val="0"/>
          <w:color w:val="000000"/>
          <w:sz w:val="24"/>
        </w:rPr>
        <w:t>A consequência prática é direta. Uma tendência regular admite projeção e intervenção antecipada: com a inclinação da barbatana de tubarão conhecida desde o meio da semana, a comissão técnica pode estimar a prevalência da véspera antes de chegar nela. Um degrau não admite: ele só é observável depois de acontecer, e a única defesa contra ele é agir sobre o que o produz, que na seção 4.5 é o dia de maior acúmulo.</w:t>
      </w:r>
    </w:p>
    <w:p>
      <w:pPr>
        <w:pStyle w:val="Heading2"/>
      </w:pPr>
      <w:r>
        <w:t>4.8 As duas comparações entre o primeiro e o último dia</w:t>
      </w:r>
    </w:p>
    <w:p>
      <w:pPr>
        <w:spacing w:line="240" w:lineRule="auto" w:after="80"/>
        <w:ind w:firstLine="0"/>
        <w:jc w:val="both"/>
      </w:pPr>
      <w:r>
        <w:rPr>
          <w:rFonts w:ascii="Times New Roman" w:hAnsi="Times New Roman"/>
          <w:b w:val="0"/>
          <w:i w:val="0"/>
          <w:color w:val="000000"/>
          <w:sz w:val="24"/>
        </w:rPr>
        <w:t>Esta seção responde à pergunta mais direta do estudo, em duas formas complementares: quanto cada variável e cada perfil mudam entre o dia de repouso e a véspera da competição. A comparação de variáveis é pareada por atleta, o que isola a mudança individual; a de perfis é de prevalência, o que descreve a composição do grupo. As duas trazem intervalo de confiança pela mesma reamostragem, e a leitura conjunta delas está na Figura 12.</w:t>
      </w:r>
    </w:p>
    <w:p>
      <w:pPr>
        <w:spacing w:line="240" w:lineRule="auto" w:after="60"/>
        <w:ind w:firstLine="0"/>
        <w:jc w:val="left"/>
      </w:pPr>
      <w:r>
        <w:rPr>
          <w:rFonts w:ascii="Times New Roman" w:hAnsi="Times New Roman"/>
          <w:b w:val="0"/>
          <w:i w:val="0"/>
          <w:color w:val="000000"/>
          <w:sz w:val="20"/>
        </w:rPr>
        <w:t>Tabela 16 - Comparação entre o primeiro e o último dia para cada variável, restrita aos atletas com registro nos dois dias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de pares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dz</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[+2,56; +4,23]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7,86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[−4,74; −2,24]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[+2,10; +5,29]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[−2,14; −0,52]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 +10,41]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 −0,12]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 +1,21]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0,417</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 +1,40]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 +2,40]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comparação é pareada e usa apenas os atletas com observação válida no dia 1 e no dia 7, o que evita atribuir à passagem do tempo o que é efeito de quem respondeu em cada dia. O dz é a média das diferenças individuais dividida pelo desvio-padrão dessas diferenças. O intervalo e o p vêm de 10 mil reamostragens das diferenças individuais. Em vigor a diferença negativa é desfavorável; nas demais variáveis a diferença positiva é que o é.</w:t>
      </w:r>
    </w:p>
    <w:p>
      <w:pPr>
        <w:spacing w:line="240" w:lineRule="auto" w:after="60"/>
        <w:ind w:firstLine="0"/>
        <w:jc w:val="left"/>
      </w:pPr>
      <w:r>
        <w:rPr>
          <w:rFonts w:ascii="Times New Roman" w:hAnsi="Times New Roman"/>
          <w:b w:val="0"/>
          <w:i w:val="0"/>
          <w:color w:val="000000"/>
          <w:sz w:val="20"/>
        </w:rPr>
        <w:t>Tabela 17 - Comparação entre o primeiro e o último dia para cada perfil, em pontos percentuais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IC 95%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+41,7]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0,000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[−35,4; +4,6]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0,121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[−25,8; +9,7]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[−12,8; +8,1]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[−16,3; +18,0]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0,961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 +6,3]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1,000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Faixas de significado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Favorável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Neutro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 risco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prevalência do dia 7 menos a do dia 1, em pontos percentuais, e o intervalo vem de 10 mil reamostragens por atleta. Apenas a barbatana de tubarão tem intervalo que não contém o zero; com 27 atletas, a queda do perfil iceberg é grande mas não distinguível de zero, e o texto diz isso. As linhas de faixa não trazem intervalo porque somam perfis correlacionados entre si, e a reamostragem da soma exigiria tratamento multinomial que este estudo não conduziu.</w:t>
      </w:r>
    </w:p>
    <w:p>
      <w:pPr>
        <w:spacing w:line="240" w:lineRule="auto" w:after="60"/>
        <w:ind w:firstLine="0"/>
        <w:jc w:val="left"/>
      </w:pPr>
      <w:r>
        <w:rPr>
          <w:rFonts w:ascii="Times New Roman" w:hAnsi="Times New Roman"/>
          <w:b w:val="0"/>
          <w:i w:val="0"/>
          <w:color w:val="000000"/>
          <w:sz w:val="20"/>
        </w:rPr>
        <w:t>Figura 12 - Diferença entre o dia 7 e o dia 1 para cada variável, pareada por atleta (A), e para cada perfil, em pontos percentuais (B), com intervalo de confiança de 95%</w:t>
      </w:r>
    </w:p>
    <w:p>
      <w:pPr>
        <w:spacing w:after="40"/>
        <w:jc w:val="center"/>
      </w:pPr>
      <w:r>
        <w:drawing>
          <wp:inline xmlns:a="http://schemas.openxmlformats.org/drawingml/2006/main" xmlns:pic="http://schemas.openxmlformats.org/drawingml/2006/picture">
            <wp:extent cx="5903999" cy="2921596"/>
            <wp:docPr id="12" name="Picture 12"/>
            <wp:cNvGraphicFramePr>
              <a:graphicFrameLocks noChangeAspect="1"/>
            </wp:cNvGraphicFramePr>
            <a:graphic>
              <a:graphicData uri="http://schemas.openxmlformats.org/drawingml/2006/picture">
                <pic:pic>
                  <pic:nvPicPr>
                    <pic:cNvPr id="0" name="a1_d1_d7.png"/>
                    <pic:cNvPicPr/>
                  </pic:nvPicPr>
                  <pic:blipFill>
                    <a:blip r:embed="rId20"/>
                    <a:stretch>
                      <a:fillRect/>
                    </a:stretch>
                  </pic:blipFill>
                  <pic:spPr>
                    <a:xfrm>
                      <a:off x="0" y="0"/>
                      <a:ext cx="5903999" cy="292159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Seis das nove variáveis mudam com intervalo que não contém o zero, e a ordenação por tamanho de efeito é informativa. A fadiga física tem o maior dz, +1,71, com aumento de +3,39 ponto; o vigor vem em seguida, com −1,15 e queda de −3,46; depois a fadiga do BRUMS, com +0,94. A tensão e a confusão mudam na direção favorável, com dz de −0,65 e −0,50. Depressão, raiva e fadiga mental não mudam. Todas as comparações usam os mesmos 21 atletas, que são os que responderam nos dois dias.</w:t>
      </w:r>
    </w:p>
    <w:p>
      <w:pPr>
        <w:spacing w:line="240" w:lineRule="auto" w:after="80"/>
        <w:ind w:firstLine="709"/>
        <w:jc w:val="both"/>
      </w:pPr>
      <w:r>
        <w:rPr>
          <w:rFonts w:ascii="Times New Roman" w:hAnsi="Times New Roman"/>
          <w:b w:val="0"/>
          <w:i w:val="0"/>
          <w:color w:val="000000"/>
          <w:sz w:val="24"/>
        </w:rPr>
        <w:t>A perturbação total do humor merece nota separada. Ela sobe +5,73 pontos, o maior aumento absoluto do conjunto, mas com dz de apenas +0,52 e intervalo largo, de [+1,37; +10,41]. A razão é que ela soma seis subescalas e herda a variância de todas, entre elas as quatro que não mudam. O escore composto é, por isso, o menos sensível dos indicadores desta semana, apesar de ser o mais usado, e as subescalas isoladas do eixo energético descrevem melhor o que aconteceu.</w:t>
      </w:r>
    </w:p>
    <w:p>
      <w:pPr>
        <w:spacing w:line="240" w:lineRule="auto" w:after="80"/>
        <w:ind w:firstLine="709"/>
        <w:jc w:val="both"/>
      </w:pPr>
      <w:r>
        <w:rPr>
          <w:rFonts w:ascii="Times New Roman" w:hAnsi="Times New Roman"/>
          <w:b w:val="0"/>
          <w:i w:val="0"/>
          <w:color w:val="000000"/>
          <w:sz w:val="24"/>
        </w:rPr>
        <w:t>No painel B, a leitura é mais sóbria e precisa ser dita com clareza. De todos os seis perfis, apenas a barbatana de tubarão tem diferença cujo intervalo não contém o zero: ela sobe +26,1 pontos percentuais, com intervalo de [+10,5; +41,7]. A queda do perfil iceberg, de −16,4 pontos, é grande em magnitude mas tem intervalo de [−35,4; +4,6], que contém o zero. Com 27 atletas e prevalências de ordem intermediária, o estudo não tem precisão para afirmar que a queda do iceberg é diferente de zero, e este texto não a afirma.</w:t>
      </w:r>
    </w:p>
    <w:p>
      <w:pPr>
        <w:spacing w:line="240" w:lineRule="auto" w:after="80"/>
        <w:ind w:firstLine="709"/>
        <w:jc w:val="both"/>
      </w:pPr>
      <w:r>
        <w:rPr>
          <w:rFonts w:ascii="Times New Roman" w:hAnsi="Times New Roman"/>
          <w:b w:val="0"/>
          <w:i w:val="0"/>
          <w:color w:val="000000"/>
          <w:sz w:val="24"/>
        </w:rPr>
        <w:t>A assimetria entre os dois resultados tem explicação, e ela não é de conveniência. Uma proporção que parte de zero, como a barbatana de tubarão no dia 1, tem variância nula na partida, e por isso qualquer aumento é estimado com precisão alta. Uma proporção que parte de perto de 40%, como o iceberg, está na região de variância máxima da distribuição binomial, e o intervalo é largo por construção. A conclusão sustentada, portanto, é a do ganho da barbatana de tubarão, e a queda do iceberg é o complemento aritmético dela, coerente com os dados mas sem sustentação inferencial própria.</w:t>
      </w:r>
    </w:p>
    <w:p>
      <w:pPr>
        <w:pStyle w:val="Heading2"/>
      </w:pPr>
      <w:r>
        <w:t>4.9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73,8% das observações como perfil iceberg, contra 38,1%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apenas 11,9% das observações, isto é, cerca de uma em cada oito. O valor está bem abaixo dos 26,5% relatados na única amostra brasileira classificada pelos mesmos seis perfis, com 898 atletas de elite e de base de um clube do Rio de Janeiro (Rohlfs, Noce e Wilke, 2024). A equipe começa a semana, portanto, em condição psicológica melhor que a da referência nacional disponível, o que é o esperado de um dia de repouso e reforça que o dia 1 funciona como linha de base. A comparação tem ressalvas: a amostra brasileira reúne os dois sexos,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11,9% para 34,8% das observações, um ganho de 22,9 pontos percentuais, que quase triplica a proporção inicial e ultrapassa os 26,5% da amostra brasileira de referência. O aumento não se distribui pelos três perfis de risco: ele se concentra na barbatana de tubarão, que salta de 0,0% para 26,1% e se torna o perfil mais frequente do último dia. Os outros dois perfis de risco, iceberg invertido e Everest invertido, recuam. Convém registrar desde já o que a seção 4.8 estabelece: das seis mudanças de prevalência entre as duas pontas, apenas a da barbatana de tubarão tem intervalo de confiança que não contém o zero. A queda do iceberg é grande, é coerente com todas as outras análises deste estudo, e ainda assim não é, isoladamente, distinguível de zero com 27 atletas.</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7,78 para 4,39 e fadiga em alta de 3,52 para 7,34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7, resume o movimento. A faixa favorável cai de 38,1% para 21,7%, a neutra sobe de 50,0% para 43,5% e a de risco sobe de 11,9% para 34,8%. As três se movem na mesma direção: perda de prontidão com ganho de risco. Duas versões anteriores desta análise usaram séries de classificação de terceiros, uma delas com regra não declarada, e chegaram a valores distintos destes. A classificação aqui reportada é calculada da base bruta pelo procedimento da seção 3.7, e a comparação entre as três séries está registrada em AUDITORIA_PERFIS_HUMOR. A direção do achado é a mesma nas três; o que muda é a magnitude.</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4.5.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A decomposição da seção 4.7 confirma essa leitura por outro caminho e acrescenta o contraste que lhe dá força. Das seis séries de perfil, apenas a barbatana de tubarão tem tendência linear cujo intervalo não contém o zero, com +3,38 pontos percentuais por dia e R² de 0,77, ao passo que o perfil iceberg tem R² de 0,03 e inclinação indistinguível de zero. Os dois perfis que dominam a semana não têm a mesma dinâmica: um cresce por acúmulo regular, o outro desaba de uma vez. A consequência prática separa-se na mesma linha. Uma tendência regular é projetável, e permite antecipar a prevalência da véspera a partir do meio da semana. Um degrau não é, e só se defende pela intervenção sobre o dia que o produz.</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O piso de ruído da série de Morgan vem do erro-padrão binomial e pressupõe independência entre atletas dentro do dia, o que é discutível em um elenco que convive; as bandas da seção 4.7 corrigem esse ponto, porque reamostram o atleta inteiro e não a observação isolada, e são por isso mais largas. O resultado deve ser lido como demonstração de que a distinção entre erosão e choque é acessível a partir de dados de rotina, e não como estimativa precisa das taxas.</w:t>
      </w:r>
    </w:p>
    <w:p>
      <w:pPr>
        <w:pStyle w:val="Heading2"/>
      </w:pPr>
      <w:r>
        <w:t>5.3 A inversão do eixo energético e o que ela diz sobre a carga</w:t>
      </w:r>
    </w:p>
    <w:p>
      <w:pPr>
        <w:spacing w:line="240" w:lineRule="auto" w:after="80"/>
        <w:ind w:firstLine="709"/>
        <w:jc w:val="both"/>
      </w:pPr>
      <w:r>
        <w:rPr>
          <w:rFonts w:ascii="Times New Roman" w:hAnsi="Times New Roman"/>
          <w:b w:val="0"/>
          <w:i w:val="0"/>
          <w:color w:val="000000"/>
          <w:sz w:val="24"/>
        </w:rPr>
        <w:t>O achado de maior densidade analítica deste estudo não está na prevalência dos perfis, e sim no dia em que o eixo energético se inverte. No dia de repouso o vigor supera a fadiga em 4,26 pontos; na véspera da estreia a fadiga supera o vigor em 2,94; e o cruzamento ocorre no dia 3,93, no segundo dia de jogo. A relevância disso é conceitual antes de ser prática. Os seis perfis são definidos por combinações de vigor e das cinco negativas, e a barbatana de tubarão é exatamente o padrão em que o vigor é o mais baixo dos seis e a fadiga a mais alta depois do Everest invertido (Parsons-Smith, Terry e Machin, 2017). A migração de 0,0% para 26,1% nesse perfil, descrita na seção 5.1, deixa de ser um achado de contagem e passa a ter mecanismo: ela é a consequência, no nível da classificação, do cruzamento observado no nível das variáveis contínuas. Os dois resultados são a mesma coisa vista em duas resoluções, e a concordância entre eles é o argumento mais forte a favor da leitura aqui proposta.</w:t>
      </w:r>
    </w:p>
    <w:p>
      <w:pPr>
        <w:spacing w:line="240" w:lineRule="auto" w:after="80"/>
        <w:ind w:firstLine="709"/>
        <w:jc w:val="both"/>
      </w:pPr>
      <w:r>
        <w:rPr>
          <w:rFonts w:ascii="Times New Roman" w:hAnsi="Times New Roman"/>
          <w:b w:val="0"/>
          <w:i w:val="0"/>
          <w:color w:val="000000"/>
          <w:sz w:val="24"/>
        </w:rPr>
        <w:t>A separação entre fadiga física e fadiga mental reforça essa interpretação e afasta a alternativa. A fadiga física tem o maior eta² parcial de todo o estudo, 0,200, e sobe +3,35 ponto; a fadiga mental sobe +0,19 ponto, variação inferior ao piso de ruído da própria série. Se o que a semana produzisse fosse desgaste cognitivo, as duas subiriam juntas. A literatura experimental sobre fadiga mental mostra que ela deprime seletivamente tarefas de mudança de direção sem afetar o desempenho em tiros repetidos, o que indica um mecanismo distinto do da fadiga periférica (Yang, Chen e Chen, 2026). Aqui o padrão é o inverso do que caracteriza a fadiga mental: a componente física carrega praticamente toda a variação, e a mental permanece dentro do ruído. Para esta equipe, e nesta semana, o desgaste é de carga, e não cognitivo.</w:t>
      </w:r>
    </w:p>
    <w:p>
      <w:pPr>
        <w:spacing w:line="240" w:lineRule="auto" w:after="80"/>
        <w:ind w:firstLine="709"/>
        <w:jc w:val="both"/>
      </w:pPr>
      <w:r>
        <w:rPr>
          <w:rFonts w:ascii="Times New Roman" w:hAnsi="Times New Roman"/>
          <w:b w:val="0"/>
          <w:i w:val="0"/>
          <w:color w:val="000000"/>
          <w:sz w:val="24"/>
        </w:rPr>
        <w:t>Isso muda a conduta que decorre do achado. Um quadro de fadiga com vigor baixo e afeto negativo estável responde a manejo de volume, de intensidade e de recuperação, e é a assinatura descrita para o excesso funcional de treino, o estágio que precede o excesso não funcional e a síndrome instalada. A revisão sistemática de onze estudos e 461 atletas de elite localiza o prejuízo de controle inibitório apenas no quadro instalado, e não no excesso funcional (Valdesalici e outros, 2026), o que é coerente com a estabilidade da fadiga mental observada aqui. A distinção não é acadêmica: confundir os dois quadros leva a interromper uma pré-temporada que dá certo, ou, no erro oposto, a manter a carga quando o sinal já mudou de natureza.</w:t>
      </w:r>
    </w:p>
    <w:p>
      <w:pPr>
        <w:spacing w:line="240" w:lineRule="auto" w:after="80"/>
        <w:ind w:firstLine="709"/>
        <w:jc w:val="both"/>
      </w:pPr>
      <w:r>
        <w:rPr>
          <w:rFonts w:ascii="Times New Roman" w:hAnsi="Times New Roman"/>
          <w:b w:val="0"/>
          <w:i w:val="0"/>
          <w:color w:val="000000"/>
          <w:sz w:val="24"/>
        </w:rPr>
        <w:t>Vale ainda registrar o que se move na direção contrária ao esperado. A tensão cai −1,28 ponto ao longo da semana, com variação acima do piso de ruído, e a confusão cai −0,51 ponto. A véspera de competição não elevou a tensão desta equipe. O achado converge com o de uma seleção nacional de basquetebol acompanhada por catorze dias de competição internacional, na qual tensão e vigor caíram juntos ao longo do período (Bird e outros, 2025), e diverge da leitura corrente de que a proximidade competitiva eleva a ativação. Duas explicações concorrem e este estudo não as separa. A primeira é o efeito piso: com 49,8% das respostas de tensão no valor mínimo, a subescala tem pouca margem para subir e muita para descer. A segunda é a de que a tensão do dia 1 seja antecipatória da retomada, e não da competição, hipótese que só um desenho com coleta anterior ao início da pré-temporada poderia testar. Há ainda evidência de que a tensão guarda relação em forma de U invertido com o desempenho, de modo que a queda observada não é, por si, favorável (Houison e outros, 2025).</w:t>
      </w:r>
    </w:p>
    <w:p>
      <w:pPr>
        <w:spacing w:line="240" w:lineRule="auto" w:after="80"/>
        <w:ind w:firstLine="709"/>
        <w:jc w:val="both"/>
      </w:pPr>
      <w:r>
        <w:rPr>
          <w:rFonts w:ascii="Times New Roman" w:hAnsi="Times New Roman"/>
          <w:b w:val="0"/>
          <w:i w:val="0"/>
          <w:color w:val="000000"/>
          <w:sz w:val="24"/>
        </w:rPr>
        <w:t>Por fim, a análise das curvas expõe uma limitação de método que a análise de prevalência esconde. Dos quatro pares testados, apenas um tem inversão estabelecida. Os pares tensão e raiva e tensão e depressão cruzam-se na figura, mas as separações não superam o limiar de ruído, e os cruzamentos são oscilação amostral. Um estudo que reportasse esses cruzamentos como trocas de dominância estaria a descrever ruído, e a inspeção visual da figura não distingue os dois casos. Esse é o argumento a favor de declarar o limiar antes de olhar a curva, e é o procedimento que este estudo propõe incorporar ao monitoramento de rotina.</w:t>
      </w:r>
    </w:p>
    <w:p>
      <w:pPr>
        <w:pStyle w:val="Heading2"/>
      </w:pPr>
      <w:r>
        <w:t>5.4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49,8% e 80,3%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5.5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5.6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4,8% no dia de repouso contra 2,7% na amostra normativa, o maior excesso relativo de toda a distribuição (Figura 6).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Esta equipe atravessa esse patamar no meio da semana: parte de 11,9% no dia de repouso, bem abaixo da referência, e chega a 34,8% na véspera, bem acima dela. O achado é mais informativo que uma coincidência de valores: ele mostra que uma semana de carga desloca um elenco de um extremo ao outro da faixa em que se distribuem os atletas brasileiros de um clube inteiro. Na segunda coorte, de 417 atletas de alto rendimento acompanhados ao longo de um ano, a barbatana de tubarão foi o perfil mais frequente, com 28,3% (Rohlfs e outros, 2025), valor próximo dos 26,1% do último dia desta série. A proximidade não é evidência, porque os delineamentos diferem: a coorte brasileira agrega medidas de doze meses e aqui o valor descreve um único dia. O que a comparação autoriza dizer é que o patamar alcançado por esta equipe na véspera da estreia se aproxima do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5.7 Aplicação prática</w:t>
      </w:r>
    </w:p>
    <w:p>
      <w:pPr>
        <w:spacing w:line="240" w:lineRule="auto" w:after="80"/>
        <w:ind w:firstLine="709"/>
        <w:jc w:val="both"/>
      </w:pPr>
      <w:r>
        <w:rPr>
          <w:rFonts w:ascii="Times New Roman" w:hAnsi="Times New Roman"/>
          <w:b w:val="0"/>
          <w:i w:val="0"/>
          <w:color w:val="000000"/>
          <w:sz w:val="24"/>
        </w:rPr>
        <w:t>A distinção corrente entre triagem, que é avaliação pontual do risco de base, e monitoramento, que é acompanhamento contínuo da condição que muda, com coleta próxima do momento da decisão, organiza o uso prático destes resultados (Jimenez e Verhagen, 2025). O que este estudo mede é monitoramento, e as três recomendações abaixo decorrem disso.</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5.8 Limitações</w:t>
      </w:r>
    </w:p>
    <w:p>
      <w:pPr>
        <w:spacing w:line="240" w:lineRule="auto" w:after="80"/>
        <w:ind w:firstLine="709"/>
        <w:jc w:val="both"/>
      </w:pPr>
      <w:r>
        <w:rPr>
          <w:rFonts w:ascii="Times New Roman" w:hAnsi="Times New Roman"/>
          <w:b w:val="0"/>
          <w:i w:val="0"/>
          <w:color w:val="000000"/>
          <w:sz w:val="24"/>
        </w:rPr>
        <w:t>Seis limitações restringem a generalização. A primeira é o alcance da amostra: 27 atletas de uma única equipe, dos quais 19 completaram todas as coletas, ao longo de um único microciclo, o que concentra a observação em um momento particular da temporada e impede separar o efeito desta semana do efeito do ciclo preparatório que a antecedeu.</w:t>
      </w:r>
    </w:p>
    <w:p>
      <w:pPr>
        <w:spacing w:line="240" w:lineRule="auto" w:after="80"/>
        <w:ind w:firstLine="709"/>
        <w:jc w:val="both"/>
      </w:pPr>
      <w:r>
        <w:rPr>
          <w:rFonts w:ascii="Times New Roman" w:hAnsi="Times New Roman"/>
          <w:b w:val="0"/>
          <w:i w:val="0"/>
          <w:color w:val="000000"/>
          <w:sz w:val="24"/>
        </w:rPr>
        <w:t>A segunda é de procedimento de classificação. A atribuição ao centroide publicado mais próximo não reproduz a análise de agrupamento original, que derivou os agrupamentos dos próprios dados, e nenhuma amostra deste tamanho poderia derivá-los. A k-médias semeada, que é o procedimento das amostras grandes, foi calculada como sensibilidade e concorda em 81,6% das observações, mas desloca dois centroides em cerca de 20 pontos T, o que a seção 3.7 discute. A terceira é a padronização: a conversão para escore T foi feita sobre a própria amostra, na ausência de normas da modalidade, o que torna a linha de 50 uma referência interna e não populacional, e impede comparar estes escores T com os de estudos que padronizam contra normas de população.</w:t>
      </w:r>
    </w:p>
    <w:p>
      <w:pPr>
        <w:spacing w:line="240" w:lineRule="auto" w:after="80"/>
        <w:ind w:firstLine="709"/>
        <w:jc w:val="both"/>
      </w:pPr>
      <w:r>
        <w:rPr>
          <w:rFonts w:ascii="Times New Roman" w:hAnsi="Times New Roman"/>
          <w:b w:val="0"/>
          <w:i w:val="0"/>
          <w:color w:val="000000"/>
          <w:sz w:val="24"/>
        </w:rPr>
        <w:t>A quarta diz respeito à densidade desigual da coleta. O número de observações por dia varia de 42 a 94, e o de atletas de 20 a 27, porque a adesão caiu ao longo da semana e porque o número de coletas por dia não foi uniforme. O piso de ruído de cada série incorpora essa variação, mas ela reduz a precisão dos dias finais, que são justamente os de maior interesse. Quatro respostas foram descartadas por não identificarem o atleta, e uma por cair fora da janela de sete dias. A quinta limitação é que a amostra é masculina, o que impede extensão aos achados de sexo relatados na literatura. E a sexta é que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38,1% das observações, e os três perfis de risco somam 11,9%, menos da metade dos 26,5% da única amostra brasileira classificada pelo mesmo critério. Na véspera da competição o quadro se inverte: o iceberg cai para 21,7%, a barbatana de tubarão sobe de 0,0% para 26,1% e passa a dividir a primeira posição, e a faixa de risco alcança 34,8% das observações.</w:t>
      </w:r>
    </w:p>
    <w:p>
      <w:pPr>
        <w:spacing w:line="240" w:lineRule="auto" w:after="80"/>
        <w:ind w:firstLine="709"/>
        <w:jc w:val="both"/>
      </w:pPr>
      <w:r>
        <w:rPr>
          <w:rFonts w:ascii="Times New Roman" w:hAnsi="Times New Roman"/>
          <w:b w:val="0"/>
          <w:i w:val="0"/>
          <w:color w:val="000000"/>
          <w:sz w:val="24"/>
        </w:rPr>
        <w:t>Ao longo da semana, a proporção de observações em perfil iceberg cai 16,4 pontos percentuais, diferença cujo intervalo de confiança de 95% contém o zero e que, por isso, não é afirmada como efeito populacional.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HASAN, M. M.; KHAN, M. H. A. Bangla version of the Brunel Mood Scale (BRUMS): validity, measurement invariance and normative data in non-clinical sample. Heliyon, v. 8, n. 6, art. e09666, 2022.</w:t>
      </w:r>
    </w:p>
    <w:p>
      <w:pPr>
        <w:spacing w:line="240" w:lineRule="auto" w:after="100"/>
        <w:ind w:firstLine="0"/>
        <w:jc w:val="both"/>
      </w:pPr>
      <w:r>
        <w:rPr>
          <w:rFonts w:ascii="Times New Roman" w:hAnsi="Times New Roman"/>
          <w:b w:val="0"/>
          <w:i w:val="0"/>
          <w:color w:val="000000"/>
          <w:sz w:val="20"/>
        </w:rPr>
        <w:t>HENZE, A. S. e outros. Athlete monitoring in handball (ATHMON HB): a systematic review protocol. Systematic Reviews, v. 14, n. 1, art. 64, 2025.</w:t>
      </w:r>
    </w:p>
    <w:p>
      <w:pPr>
        <w:spacing w:line="240" w:lineRule="auto" w:after="100"/>
        <w:ind w:firstLine="0"/>
        <w:jc w:val="both"/>
      </w:pPr>
      <w:r>
        <w:rPr>
          <w:rFonts w:ascii="Times New Roman" w:hAnsi="Times New Roman"/>
          <w:b w:val="0"/>
          <w:i w:val="0"/>
          <w:color w:val="000000"/>
          <w:sz w:val="20"/>
        </w:rPr>
        <w:t>JIMENEZ, C.; VERHAGEN, E. Reimagining athlete monitoring for true indicative injury prevention. BMJ Open Sport and Exercise Medicine, v. 11, n. 2, art. e002479, 2025.</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YANG, W.; CHEN, T.; CHEN, G. The impact of mental fatigue on repeated sprint and change-of-direction performance in soccer. Frontiers in Psychology, v. 17, art. 1842345, 2026.</w:t>
      </w:r>
    </w:p>
    <w:p>
      <w:pPr>
        <w:spacing w:line="240" w:lineRule="auto" w:after="100"/>
        <w:ind w:firstLine="0"/>
        <w:jc w:val="both"/>
      </w:pPr>
      <w:r>
        <w:rPr>
          <w:rFonts w:ascii="Times New Roman" w:hAnsi="Times New Roman"/>
          <w:b w:val="0"/>
          <w:i w:val="0"/>
          <w:color w:val="000000"/>
          <w:sz w:val="20"/>
        </w:rPr>
        <w:t>ZHANG, C. Q. e outros. Psychometric properties of the Brunel Mood Scale in Chinese adolescents and adults. Journal of Sports Sciences, v. 32, n. 15, p. 1465-1476, 2014.</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