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Busca complementar da revisão sistemática de humor em handebol: bases acionadas, cobertura obtida e pendências</w:t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Relatório de execução de 12 de setembro de 2026</w:t>
      </w:r>
    </w:p>
    <w:p>
      <w:pPr>
        <w:pStyle w:val="Heading1"/>
      </w:pPr>
      <w:r>
        <w:t>1 OBJETIVO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Este relatório registra a execução das buscas pendentes declaradas na revisão sistemática, o desfecho de cada base acionada e a adjudicação dos treze relatórios que a revisão havia deixado sem recuperação. O registro é necessário porque parte das bases não pôde ser consultada, e a razão precisa constar do relato de método, e não ser omitida.</w:t>
      </w:r>
    </w:p>
    <w:p>
      <w:pPr>
        <w:pStyle w:val="Heading1"/>
      </w:pPr>
      <w:r>
        <w:t>2 BASES ACIONADAS E O QUE FOI BLOQUEADO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Dez bases e serviços foram acionados. Três responderam, um estava com a cota mensal esgotada e seis foram recusados pela política de saída da rede desta sessão, que respondeu com código 403 à abertura do túnel de conexão. A recusa é de política, não de indisponibilidade do serviço, e por isso não foi contornada.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1 - Bases e serviços acionados em 12 de setembro de 2026, via de acesso e desfecho da tentativa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Base ou serviço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Via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Desfecho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Registros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PubMed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interface programática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respondeu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Consensus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interface programática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respondeu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Busca na web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interface programática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respondeu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 consultas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Scite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interface programática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cota mensal esgotada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Scopus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api.elsevier.com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bloqueado pela política de saída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Web of Science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api.clarivate.com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bloqueado pela política de saída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OpenAlex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api.openalex.org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bloqueado pela política de saída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Crossref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api.crossref.org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bloqueado pela política de saída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Europe PMC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www.ebi.ac.uk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bloqueado pela política de saída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Semantic Scholar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api.semanticscholar.org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bloqueado pela política de saída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Scopus e Web of Science estão entre as bases recusadas. As duas exigiriam, além da liberação de rede, chave de acesso institucional, que esta sessão não possui. A consulta a elas permanece como tarefa a ser feita por acesso institucional direto, e o relato de método da revisão deve declarar que a reexecução nessas duas bases não foi realizada nesta rodada.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cobertura perdida é parcialmente compensada pelo Consensus, cujo índice reúne Semantic Scholar, PubMed, Scopus e repositórios de preprints. A compensação não é equivalente a uma consulta direta ao Scopus, porque não permite executar a string booleana no formato da base nem exportar o conjunto completo de resultados, e por isso não substitui a etapa pendente.</w:t>
      </w:r>
    </w:p>
    <w:p>
      <w:pPr>
        <w:pStyle w:val="Heading1"/>
      </w:pPr>
      <w:r>
        <w:t>3 REEXECUÇÃO DA STRING NO PUBMED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string de dois blocos da revisão excede o limite de operadores booleanos da interface disponível e foi partida em duas consultas complementares, uma para os termos de humor e instrumentos de humor e outra para os termos de afeto. A união das duas devolveu 16 registros.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2 - Reexecução da string de busca no PubMed e conferência contra o registro da revisão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Situação do registro recuperado</w:t>
            </w:r>
          </w:p>
        </w:tc>
        <w:tc>
          <w:tcPr>
            <w:tcW w:type="dxa" w:w="4535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Estudos incluídos na revisão, com identificador PubMed</w:t>
            </w:r>
          </w:p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</w:t>
            </w:r>
          </w:p>
        </w:tc>
      </w:tr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Relatórios já classificados como não recuperados</w:t>
            </w:r>
          </w:p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Registros já triados e excluídos, com motivo registrado</w:t>
            </w:r>
          </w:p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Total recuperado</w:t>
            </w:r>
          </w:p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Registros fora do conjunto de 86 já triados</w:t>
            </w:r>
          </w:p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resultado é o achado mais relevante desta rodada. Nenhum dos 16 registros está fora do conjunto de 86 já triados pela revisão. Os 11 estudos incluídos que possuem identificador PubMed foram todos recuperados, o que corresponde a sensibilidade de 100% da busca original em relação a essa base. Os três registros que à primeira vista pareciam novos já constavam do registro com exclusão motivada: RS061, RS051 e RS046.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conferência não se estende às demais bases. Ela sustenta a afirmação de que a busca não perdeu registro indexado no PubMed, e apenas essa.</w:t>
      </w:r>
    </w:p>
    <w:p>
      <w:pPr>
        <w:pStyle w:val="Heading1"/>
      </w:pPr>
      <w:r>
        <w:t>4 BOLA DE NEVE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bola de neve para trás continua pendente. O serviço que devolveria a lista de referências de cada estudo incluído, o Europe PMC, está entre as bases recusadas pela política de saída, e o grafo de citações do Scite, que seria a alternativa, atingiu a cota mensal de chamadas. A varredura terá de ser feita sobre o texto de cada um dos 30 incluídos, por leitura direta das listas de referências, e essa é a tarefa de maior retorno esperado entre as que permanecem abertas.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bola de neve para a frente permanece no estado em que a revisão a deixou, com 123 citações examinadas e nenhum estudo elegível acrescentado.</w:t>
      </w:r>
    </w:p>
    <w:p>
      <w:pPr>
        <w:pStyle w:val="Heading1"/>
      </w:pPr>
      <w:r>
        <w:t>5 ADJUDICAÇÃO DOS RELATÓRIOS NÃO RECUPERADOS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Dos treze relatórios pendentes, dois foram resolvidos e excluídos com motivo, um permanece incerto e depende do texto completo, e dez seguem sem recuperação. Nove destes dez não têm identificador digital e correspondem a literatura cinzenta, anais e periódicos sem indexação nas bases que responderam.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3 - Adjudicação dos treze relatórios que permaneciam sem recuperação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Identificação obtida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Decisão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Motivo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RS041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Erden e Emirzeoğlu (2020), 188 atletas de quatro modalidades, 34 de handebol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excluído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sem resultado separável para handebol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RS079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Bursik e outros (2025), 459 atletas alemães de elite, automedicação com analgésicos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excluído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sem medida de humor ou de afeto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RS015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Laborde e Raab (2013), indução de humor e geração de opções, amostra mista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incerto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exige texto completo para separar a subamostra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RS002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RS006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RS007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RS011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RS012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RS024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RS026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RS042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localizado em nenhuma das bases que responderam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literatura cinzenta sem identificador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RS037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registro com identificador digital, texto completo não obtido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acesso restrito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RS040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registro com identificador digital, texto completo não obtido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recuperado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acesso restrito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efeito sobre a revisão é pequeno e deve ser declarado. Nenhum dos dois relatórios resolvidos entra no corpus, de modo que o número de estudos incluídos permanece em 30. Os dez sem recuperação continuam a compor o item de relatórios não obtidos do fluxo, e a limitação correspondente já está declarada.</w:t>
      </w:r>
    </w:p>
    <w:p>
      <w:pPr>
        <w:pStyle w:val="Heading1"/>
      </w:pPr>
      <w:r>
        <w:t>6 CANDIDATOS NOVOS EXAMINADOS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As buscas no Consensus e na web devolveram quatro registros que não constavam do conjunto de 86. Nenhum é elegível. Dois tratam de amostras multiesportivas sem resultado separável para handebol, um mede motivação e ansiedade competitiva sem instrumento de humor, e o quarto é uma revisão de humor em futebol. A ausência de candidato elegível, somada à sensibilidade de 100% no PubMed, é sinal convergente de que o corpus de 30 estudos está estável.</w:t>
      </w:r>
    </w:p>
    <w:p>
      <w:pPr>
        <w:pStyle w:val="Heading1"/>
      </w:pPr>
      <w:r>
        <w:t>7 O QUE FOI INCORPORADO AO ARTIGO 1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Três referências foram conferidas nas bases que responderam e usadas no manuscrito. As duas primeiras são novas e sustentam a seção de instrumento; a terceira já era citada e teve os dados bibliográficos e os valores conferidos contra o registro do PubMed.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4 - Referências verificadas nas bases e incorporadas ao Artigo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Referência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Contribuição ao texto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Seção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Zhang e outros (2014), Journal of Sports Sciences, v. 32, n. 15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validade fatorial e invariância de medida em 2548 respondentes, dos quais 954 atletas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Hasan e Khan (2022), Heliyon, v. 8, n. 6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estabilidade de reteste entre 0,71 e 0,91, condição para a leitura de sete medidas seguidas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Rohlfs e outros (2025), Sports, v. 13, n. 9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dados conferidos no PubMed: 417 atletas, barbatana de tubarão em 28,3% e razão de chances de 2,90 para lesão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1, 5.6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conferência da estabilidade de reteste responde a uma lacuna do método: o delineamento aplica o mesmo instrumento em sete dias seguidos, e até aqui o texto não apresentava evidência de que a variação observada fosse de estado e não de erro de medida. A ressalva conhecida sobre a distinção entre tensão e depressão foi verificada na própria amostra e não se confirma, com correlação de 0,18 entre as duas subescalas.</w:t>
      </w:r>
    </w:p>
    <w:p>
      <w:pPr>
        <w:pStyle w:val="Heading1"/>
      </w:pPr>
      <w:r>
        <w:t>8 O QUE PERMANECE PENDENTE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Reexecutar a string no Scopus e na Web of Science por acesso institucional direto, fora desta rede.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Reexecutar a string no OpenAlex, tarefa que a revisão já declarava pendente por limite de requisições e que agora acumula o bloqueio de rede.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Fazer a bola de neve para trás por leitura das listas de referências dos 30 estudos incluídos.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Obter o texto completo de RS015 para decidir entre inclusão e exclusão.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Registrar no relato de método da revisão, de forma explícita, que a reexecução em Scopus, Web of Science e OpenAlex não foi feita, e por qual razão.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