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totalizando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indicando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e (x) caracterizar a sonolência e o estresse percebido e sua relação com o humor.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servindo à caracterização da amostra e ao ajuste alométrico do desempenho no T-CAR.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garantindo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Para separar o efeito da aptidão do efeito do tamanho corporal, o pico de velocidade foi ainda submetido a ajuste alométrico: estimou-se o expoente da relação alométrica pela regressão log(PV)–log(massa) e normalizou-se o PV pela massa elevada a esse expoente, comparando-se as associações do PV bruto e do PV normalizado com a fadiga e o vigor. A dinâmica temporal foi ainda modelada ajustando-se uma função polinomial às médias diárias de cada dimensão, da qual se obtiveram, por derivação, a taxa de variação instantânea (derivada primeira), os pontos críticos (máximos e mínimos) e o ponto de inflexão (raiz da derivada segunda).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evidenciando que o efeito se concentra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recuando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14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14; Figura 14).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15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15)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confirmando que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3.13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16 – Modelagem polinomial (grau 3) das médias diárias do eixo energia–fadiga: qualidade do ajuste (R²), taxa de variação média, taxa instantânea (P′) e aceleração (P″) nas bordas,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Taxa média/dia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(dia)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-2,40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-1,55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4,0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+4,69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3,9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variação); P″ = derivada segunda (aceleração/concavidade); inflexão = raiz de P″ = 0. As dimensões negativas, com efeito de piso e ajuste fraco, foram omitidas.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16; Figura 15). A modelagem restringiu-se ao eixo energia–fadiga (vigor, fadiga e PTH), onde os ajustes foram excelentes (vigor R² = 0,96; fadiga R² = 0,95); as dimensões negativas, próximas do piso e com variância reduzida, ajustaram-se mal e foram omitidas da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4,2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derivada segunda (P″) descreve a aceleração da mudança e a concavidade da trajetória. No vigor, P″ é positiva no início (+2,51) — a queda, embora acentuada, desacelera rumo ao meio da semana — e torna-se negativa ao final (-2,14), quando a curva volta a se inclinar para o mínimo do Dia 7; a fadiga apresenta o padrão espelhado (P″ = -1,55 no Dia 1; +1,51 no Dia 7). A troca de sinal de P″ no dia ≈ 4 confirma, formalmente, a inflexão sincronizada das duas dimensões. Quanto ao comportamento conjunto, as curvas de taxa de variação (P′) do vigor e da fadiga são praticamente imagens especulares: a correlação entre elas é de -0,97, indicando que a perda de energia e o ganho de fadiga aceleram e desaceleram em uníssono ao longo do microciclo. Ambas acoplam-se fortemente à Perturbação Total do Humor (fadiga–PTH = +0,97; vigor–PTH = -0,88), o que confirma, no plano das derivadas, que energia e fadiga operam como um eixo único e integrado — o mesmo eixo que domina toda a resposta afetiva à carga.</w:t>
      </w:r>
    </w:p>
    <w:p>
      <w:pPr>
        <w:spacing w:before="160" w:after="40"/>
      </w:pPr>
      <w:r>
        <w:rPr>
          <w:sz w:val="22"/>
        </w:rPr>
        <w:t>Tabela 17 – Extremos da função ajustada e limites da derivada (eixo energia–fadiga): valor máximo e mínimo modelados (com o dia) e os limites da taxa de variação P′ — subida máxima e queda máxima.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máx. (dia)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mín. (dia)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máx./subida (dia)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mín./queda (dia)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 (Dia 1)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 (Dia 7)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 (Dia 4,2)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 (Dia 1)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 (Dia 7)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(Dia 1)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 (Dia 1)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(Dia 4)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8,6 (Dia 7)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 (Dia 1)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 (Dia 7)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-0,97 (Dia 3,9)</w:t>
            </w:r>
          </w:p>
        </w:tc>
      </w:tr>
    </w:tbl>
    <w:p>
      <w:pPr>
        <w:spacing w:after="0"/>
      </w:pPr>
      <w:r>
        <w:rPr>
          <w:i/>
          <w:sz w:val="17"/>
        </w:rPr>
        <w:t>Valores e taxas extraídos da função polinomial P(t) no intervalo [Dia 1; Dia 7]. Os máximos/mínimos observados de todas as dimensões constam na Tabela de dias de pico (seção 3.7).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extremos das funções ajustadas e os limites de suas derivadas (Tabela 17) delimitam quantitativamente a resposta. O vigor varia entre um máximo de 8,2 pontos no Dia 1 e um mínimo de 4,4 no Dia 7, com a taxa de variação confinada entre -3,52 ponto/dia (queda máxima, no Dia 1) e +0,55 ponto/dia (leve recuperação em torno do meio da semana); a fadiga percorre o intervalo inverso (mínimo de 3,4 no Dia 1; máximo de 7,3 no Dia 7), com taxa entre -0,13 e +2,23 ponto/dia. Esses limites confirmam que a maior velocidade de mudança ocorre no início do microciclo e que o sistema afetivo opera dentro de uma faixa de variação bem definida.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comparando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uma tendência descritiva, já que a diferença categórica não atingiu significância —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evidenciando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carga, elevando-se rumo ao último dia e associando-se, entre atletas, a mais fadiga e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