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/>
          <w:sz w:val="24"/>
        </w:rPr>
        <w:t xml:space="preserve">Objetivo: </w:t>
      </w:r>
      <w:r>
        <w:rPr>
          <w:b w:val="0"/>
          <w:sz w:val="24"/>
        </w:rPr>
        <w:t xml:space="preserve">caracterizar e analisar o perfil de humor de atletas de handebol de elite ao longo da última semana de pré-temporada, comparando cada dimensão do BRUMS entre todos os dias e identificando os dias de maior e menor expressão de cada estado de humor, com a aptidão aeróbia intermitente como parâmetro fisiológico. </w:t>
      </w:r>
      <w:r>
        <w:rPr>
          <w:b/>
          <w:sz w:val="24"/>
        </w:rPr>
        <w:t xml:space="preserve">Método: </w:t>
      </w:r>
      <w:r>
        <w:rPr>
          <w:b w:val="0"/>
          <w:sz w:val="24"/>
        </w:rPr>
        <w:t xml:space="preserve">27 atletas do sexo masculino responderam ao BRUMS-24 ao longo de sete dias (uma coleta de linha de base no primeiro dia e duas coletas diárias — pré e pós-treino — nos seis dias de treino), totalizando 286 observações. Empregaram-se estatística descritiva, Shapiro-Wilk, Wilcoxon com tamanho de efeito, Friedman com W de Kendall, pós-teste (Tukey), ICC, MANOVA em escores T e regressão do pico de velocidade do T-CAR, com limiar por índice de Youden.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deterioração concentrou-se no eixo energia–fadiga — o vigor caiu (d = -1,33) e a fadiga subiu (d = +0,78), confirmado por MANOVA (Wilks λ = 0,181; p &lt; 0,001). O vigor foi máximo no Dia 1 e a fadiga no Dia 7. Os seis perfis de humor descritos por Terry e Parsons-Smith (iceberg, iceberg invertido, submerso, superfície, Everest invertido e barbatana de tubarão) estiveram representados, e a prevalência deslocou-se do perfil iceberg (48% no baseline) para a barbatana de tubarão (22% no Dia 7), sem instalação dos perfis de maior risco à saúde mental (Everest invertido, submerso e iceberg invertido), embora a diferença categórica não tenha alcançado significância (χ² = 8,96; p = 0,111). Maior aptidão associou-se a menos fadiga (ρ = -0,51), com limiar de 14,9 km/h. A sonolência (Epworth) elevou-se ao longo da semana e associou-se a mais fadiga e pior humor, enquanto o estresse percebido (PSS-14) manteve-se estável, indicando que a resposta afetiva foi específica da carga de treino.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o humor migrou da prontidão (perfil iceberg) para a fadiga funcional (perfil barbatana de tubarão); o vigor e a fadiga foram as dimensões mais sensíveis, e a aptidão intermitente ajudou a explicar a resposta, fundamentando o monitoramento individualizado.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aptidão intermitente.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rendimento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acompanhamento do estado psicológico dos atletas consolidou-se como parte essencial da gestão do treinamento no esporte de rendimento. Instrumentos de autorrelato do humor são práticos, econômicos e sensíveis às variações da carga de treino, com utilidade preditiva para o bem-estar e o desempenho esportivo (SAW; MAIN; GASTIN, 2016; LOCHBAUM et al., 2021), razão pela qual documentos de consenso recomendam seu uso rotineiro para monitorar a fadiga e orientar decisões de treino e recuperação (KELLMANN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Entre esses instrumentos, a Escala de Humor de Brunel (BRUMS), versão abreviada e adaptada do Profile of Mood States (POMS), destaca-se pela rapidez de aplicação e pela solidez psicométrica, com sucessivas validações transculturais, incluindo a versão brasileira (BRAMS) (TERRY; LANE; FOGARTY, 2003; ROHLFS et al., 2008, 2023). Sua aplicação tem-se mostrado particularmente informativa em modalidades esportivas coletivas e no esporte de rendimento, contextos de elevada demanda física, emocional e interpessoal: a BRUMS vem sendo empregada para monitorar o humor de atletas de elite ao longo de períodos competitivos e sua relação com o sono, o desempenho, os resultados de partida e o risco de lesão (ANDRADE et al., 2016; BRANDT; BEVILACQUA; ANDRADE, 2017; ANDRADE et al., 2020; DE MIRANDA ROHLFS et al., 2025; DO NASCIMENTO et al., 2026), consolidando-se como um indicador de baixo custo e alta sensibilidade para a triagem do bem-estar psicológico e do risco de saúde mental em contextos de rendimento.</w:t>
      </w:r>
    </w:p>
    <w:p>
      <w:pPr>
        <w:spacing w:before="120" w:after="80" w:line="360" w:lineRule="auto"/>
      </w:pPr>
      <w:r>
        <w:rPr>
          <w:b/>
          <w:sz w:val="24"/>
        </w:rPr>
        <w:t>1.2 Perfis de humor e sua aplicação em atletas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 de cada subescala, a leitura do humor evoluiu para a identificação de perfis prototípicos. Morgan (1985) descreveu o clássico “perfil iceberg” — vigor elevado sobre dimensões negativas baixas — como assinatura de prontidão e de saúde mental positiva. Mais recentemente, análises de agrupamento (cluster) em grandes amostras formalizaram seis perfis de humor — iceberg, superfície, submerso, barbatana de tubarão, iceberg invertido e Everest invertido —, dos quais os três últimos se associam a maior risco à saúde mental e à subperformance (PARSONS-SMITH; TERRY; MACHIN, 2017; HAN; PARSONS-SMITH; TERRY, 2020). Esses perfis vêm sendo replicados em diferentes culturas e aplicados ao rastreamento da prontidão e do bem-estar de atletas de elite, inclusive no contexto brasileiro: em uma grande amostra de um clube de rendimento do Rio de Janeiro (898 atletas), o perfil iceberg foi o mais prevalente em avaliação momentânea, ao passo que os perfis de risco foram os menos frequentes (DE MIRANDA ROHLFS et al., 2024). A abordagem por perfis oferece uma leitura integrada e visual do estado psicológico, sensível às variações de carga e útil para identificar precocemente atletas em deterioração, com valor documentado para a saúde mental sustentável e para desfechos como lesão (TERRY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1.3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invasão, de caráter marcadamente intermitente e de alta intensidade. Ao longo da partida, ações máximas e explosivas — sprints curtos, saltos, arremessos, bloqueios, mudanças de direção e contatos físicos — alternam-se, de forma imprevisível, com períodos de recuperação incompleta, exigindo simultaneamente potência anaeróbia, capacidade aeróbia intermitente e elevada tolerância à fadiga (KARCHER; BUCHHEIT, 2014; MICHALSIK; AAGAARD, 2015; WAGNER et al., 2014). É justamente a aptidão aeróbia que sustenta a capacidade de repetir e manter esforços de alta intensidade ao longo de uma partida: uma maior potência aeróbia acelera a ressíntese de fosfocreatina e a remoção de metabólitos nas pausas incompletas, atenua a queda de desempenho entre ações sucessivas e retarda a instalação da fadiga, preservando a qualidade das ações decisivas nos minutos finais (KARCHER; BUCHHEIT, 2014; MICHALSIK; AAGAARD, 2015). Por atuar sobre a recuperação entre esforços, e não apenas sobre a intensidade máxima isolada, a aptidão aeróbia intermitente é determinante da capacidade de sustentar altas intensidades no jogo intermitente. Avaliá-la, contudo, exige um teste que reproduza esse mesmo padrão de esforço e pausa: é o que faz o Teste de Carminatti (T-CAR), teste de campo progressivo e intermitente cujo pico de velocidade (PV) reflete a capacidade aeróbia intermitente e se associa ao desempenho físico e à aptidão em modalidades dessa natureza (FERNANDES-DA-SILVA et al., 2016). Esse padrão de esforço eleva a carga interna nos microciclos de acúmulo e repercute no estado afetivo, sobretudo na última semana de pré-temporada, quando a carga que antecede a competição se concentra. Como a tolerância a essa carga depende da aptidão aeróbia intermitente, é plausível que o PV do T-CAR module a magnitude da resposta de humor ao acúmulo de treino — hipótese que este estudo examina.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Diante da ampla adoção da BRUMS, mas da escassez de descrições detalhadas do comportamento do humor em um microciclo pré-competitivo de handebol de elite, o objetivo geral foi caracterizar e analisar o perfil de humor desses atletas ao longo da última semana de pré-temporada, descrevendo o comportamento de cada dimensão do BRUMS, comparando todos os dias entre si, identificando os dias de maior e menor expressão de cada estado de humor e relacionando a resposta à aptidão aeróbia intermitente. Especificamente, buscou-se: (i) caracterizar a amostra; (ii) verificar a normalidade; (iii) descrever a resposta aguda pré → pós com tamanho de efeito; (iv) comparar as dimensões entre todos os dias; (v) confirmar as diferenças por análise multivariada (escores T); (vi) descrever o comportamento individual de cada variável e suas relações; (vii) identificar os dias de maior fadiga, vigor, tensão, raiva e depressão; (viii) classificar a evolução dos perfis de humor; (ix) analisar o T-CAR e o limiar de pico de velocidade; e (x) caracterizar a sonolência e o estresse percebido e sua relação com o humor. Hipotetizou-se que a deterioração se concentraria no eixo energia–fadiga, com migração do perfil iceberg para o de fadiga, e que a aptidão intermitente modularia a resposta.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Delineamento e amostra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Estudo descritivo-comparativo, observacional e de medidas repetidas, conduzido em condições ecológicas de treinamento durante o microciclo pré-competitivo (21 a 27 de abril de 2024), com 27 atletas de handebol do sexo masculino de nível competitivo, conforme os princípios éticos da Declaração de Helsinque e com consentimento informado.</w:t>
      </w:r>
    </w:p>
    <w:p>
      <w:pPr>
        <w:spacing w:before="120" w:after="80" w:line="360" w:lineRule="auto"/>
      </w:pPr>
      <w:r>
        <w:rPr>
          <w:b/>
          <w:sz w:val="24"/>
        </w:rPr>
        <w:t>2.2 Instrumentos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 24 itens em escala de 0 (“nada”) a 4 (“extremamente”), agrupados em seis subescalas de 0 a 16 pontos (tensão, depressão, raiva, vigor, fadiga e confusão); a Perturbação Total do Humor (PTH) resume o perfil (soma das negativas menos o vigor). Para a classificação de perfis e a análise multivariada, os escores foram convertidos em escores T (M = 50; DP = 10). A aptidão aeróbia intermitente foi avaliada pelo Teste de Carminatti (T-CAR), teste de campo progressivo e intermitente (repetições de 12 s de corrida em vaivém intercaladas por 6 s de recuperação, até a exaustão), tendo o pico de velocidade (PV) como desfecho (FERNANDES-DA-SILVA et al., 2016). A estrutura de esforço e pausa do T-CAR reproduz o padrão intermitente das ações do handebol, de modo que o PV expressa a capacidade aeróbia de sustentar e repetir esforços de alta intensidade — e não apenas a intensidade máxima isolada —, o que o qualifica como marcador fisiológico específico para esta amostra. O T-CAR foi aplicado em 15 de abril de 2024, quatro dias de treino antes do início do microciclo, de modo a servir como parâmetro fisiológico de linha de base das análises. No mesmo diário eletrônico, registraram-se ainda a sonolência, pela Escala de Sonolência de Epworth em versão de 6 itens (probabilidade de cochilar em seis situações; 0–18), e o estresse percebido, pela Escala de Estresse Percebido de 14 itens (PSS-14; 0–56, com sete itens de pontuação invertida), tomados como marcadores de recuperação e de carga psicossocial.</w:t>
      </w:r>
    </w:p>
    <w:p>
      <w:pPr>
        <w:spacing w:before="120" w:after="80" w:line="360" w:lineRule="auto"/>
      </w:pPr>
      <w:r>
        <w:rPr>
          <w:b/>
          <w:sz w:val="24"/>
        </w:rPr>
        <w:t>2.3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ao longo de sete dias consecutivos (21 a 27 de abril de 2024). A data e o horário de cada resposta foram definidos pelo carimbo automático de registro do formulário — e não pela data informada pelo respondente —, garantindo a alocação correta de cada observação ao dia e ao momento de coleta. O primeiro dia (21/04) constituiu a avaliação de linha de base (baseline), com uma única coleta por atleta; nos seis dias de treino subsequentes (22 a 27/04) previram-se duas coletas diárias — uma ao início (pré) e outra ao final (pós) do treino. Em cada dia de treino, a primeira resposta de cada atleta foi tomada como pré e a última como pós. Por se tratar de registro em condições ecológicas, houve adesão irregular: nem todos os atletas responderam em todos os dias ou nas duas janelas, e eventuais respostas repetidas dentro de uma mesma janela foram reduzidas a um único valor (a primeira, no baseline; a primeira e a última, como pré e pós, nos dias de treino). Após essa padronização e a exclusão de um registro isolado fora da janela (29/04), o conjunto analítico totalizou 286 observações válidas dos 27 atletas (uma no baseline e até duas por dia de treino).</w:t>
      </w:r>
    </w:p>
    <w:p>
      <w:pPr>
        <w:spacing w:before="120" w:after="80" w:line="360" w:lineRule="auto"/>
      </w:pPr>
      <w:r>
        <w:rPr>
          <w:b/>
          <w:sz w:val="24"/>
        </w:rPr>
        <w:t>2.4 Análise estatística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seguiu uma sequência do descritivo ao inferencial. Inicialmente, empregou-se estatística descritiva (média, desvio-padrão, mediana e amplitude) para caracterizar as variáveis, e o teste de Shapiro-Wilk para verificar a normalidade — etapa que orienta a escolha entre testes paramétricos e não paramétricos. Como as distribuições violaram a normalidade, com forte concentração de escores baixos nas dimensões negativas (efeito de piso), os dados não foram transformados (NEVILL; LANE, 2007) e privilegiaram-se testes não paramétricos.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descrever a resposta aguda ao treino, os momentos pré e pós foram comparados pelo teste de Wilcoxon para amostras pareadas, acompanhado do tamanho de efeito (d de Cohen), que expressa a magnitude da diferença independentemente do tamanho da amostra (trivial &lt; 0,2; pequeno &lt; 0,5; médio &lt; 0,8; grande ≥ 0,8); a mesma lógica aplicou-se à comparação entre o primeiro e o último dia. Para verificar se cada dimensão variou ao longo dos sete dias, utilizou-se o teste de Friedman — equivalente não paramétrico da ANOVA de medidas repetidas —, com o W de Kendall como tamanho de efeito (0,1 pequeno; 0,3 moderado; 0,5 grande); quando significativo, aplicou-se o pós-teste das médias marginais de um modelo misto (correção de Tukey), que identifica entre quais dias, especificamente, houve diferença. A consistência das medidas repetidas ao longo da semana foi estimada pelo coeficiente de correlação intraclasse (ICC), interpretado como pobre (&lt; 0,50), moderado (0,50–0,75), bom (0,75–0,90) ou excelente (&gt; 0,90).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confirmação robusta, as comparações Dia 1 → Dia 7 e pré → pós foram reanalisadas por análise multivariada de variância (MANOVA) de medidas repetidas sobre os escores T, que testa as seis dimensões em conjunto e controla o erro de múltiplas comparações (lambda de Wilks, F e eta-quadrado parcial — η²ₚ; 0,01 pequeno; 0,06 médio; 0,14 grande); nos testes univariados de acompanhamento da MANOVA, aplicou-se o ajuste de Bonferroni ao nível de significância, dividindo 0,05 pelas seis dimensões (α = 0,008), para controlar o erro do tipo I. A associação entre as dimensões foi quantificada pela correlação de Spearman (ρ). Por fim, a relação entre o pico de velocidade do T-CAR e a fadiga foi analisada por regressão, e um limiar de pico de velocidade foi estabelecido pelo índice de Youden — que maximiza a soma de sensibilidade e especificidade —, com a qualidade de discriminação avaliada pela área sob a curva ROC. Adotou-se nível de significância de 5% (p &lt; 0,05), com as análises conduzidas em ambiente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Caracterização da amostra</w:t>
      </w:r>
    </w:p>
    <w:p>
      <w:pPr>
        <w:spacing w:before="160" w:after="40"/>
      </w:pPr>
      <w:r>
        <w:rPr>
          <w:sz w:val="22"/>
        </w:rPr>
        <w:t>Tabela 1 – Distribuição da amostra por posição de jogo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Posição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sociodemográfica e antropométrica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(anos)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do sexo masculino (idade 22,0 ± 3,8 anos; estatura 182,5 ± 6,5 cm; massa corporal 85,8 ± 15,7 kg), distribuídos entre as posições de jogo (Tabela 1) e com caracterização sociodemográfica e antropométrica compatível com a de handebolistas de nível competitivo (Tabela 2).</w:t>
      </w:r>
    </w:p>
    <w:p>
      <w:pPr>
        <w:spacing w:before="120" w:after="80" w:line="360" w:lineRule="auto"/>
      </w:pPr>
      <w:r>
        <w:rPr>
          <w:b/>
          <w:sz w:val="24"/>
        </w:rPr>
        <w:t>3.2 Normalidade das distribuições</w:t>
      </w:r>
    </w:p>
    <w:p>
      <w:pPr>
        <w:spacing w:before="160" w:after="40"/>
      </w:pPr>
      <w:r>
        <w:rPr>
          <w:sz w:val="22"/>
        </w:rPr>
        <w:t>Tabela 3 – Teste de normalidade (Shapiro-Wilk) das dimensões do BRUMS.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Estatística (W)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0,776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0,468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seis dimensões não seguem distribuição normal (p &lt; 0,001; Tabela 3), justificando os testes não paramétricos.</w:t>
      </w:r>
    </w:p>
    <w:p>
      <w:pPr>
        <w:spacing w:before="120" w:after="80" w:line="360" w:lineRule="auto"/>
      </w:pPr>
      <w:r>
        <w:rPr>
          <w:b/>
          <w:sz w:val="24"/>
        </w:rPr>
        <w:t>3.3 Estatística descritiva das dimensões</w:t>
      </w:r>
    </w:p>
    <w:p>
      <w:pPr>
        <w:spacing w:before="160" w:after="40"/>
      </w:pPr>
      <w:r>
        <w:rPr>
          <w:sz w:val="22"/>
        </w:rPr>
        <w:t>Tabela 4 – Estatística descritiva das dimensões do BRUMS e da PTH (286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10,05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-12–52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0–14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0–8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descritiva geral consta na Tabela 4: o vigor e a fadiga concentram as maiores médias e variabilidade.</w:t>
      </w:r>
    </w:p>
    <w:p>
      <w:pPr>
        <w:spacing w:before="120" w:after="80" w:line="360" w:lineRule="auto"/>
      </w:pPr>
      <w:r>
        <w:rPr>
          <w:b/>
          <w:sz w:val="24"/>
        </w:rPr>
        <w:t>3.4 Diferenças entre pré e pós-treino (com tamanho de efeito)</w:t>
      </w:r>
    </w:p>
    <w:p>
      <w:pPr>
        <w:spacing w:before="160" w:after="40"/>
      </w:pPr>
      <w:r>
        <w:rPr>
          <w:sz w:val="22"/>
        </w:rPr>
        <w:t>Tabela 5 – Diferenças entre pré e pós-treino (agregado da semana; Wilcoxon e d de Cohen).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 de Cohen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trivial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foi consistente (Tabela 5): o vigor caiu (14%; d = -0,47) e a fadiga e a PTH subiram do pré para o pós, com efeito médio.</w:t>
      </w:r>
    </w:p>
    <w:p>
      <w:pPr>
        <w:spacing w:before="120" w:after="80" w:line="360" w:lineRule="auto"/>
      </w:pPr>
      <w:r>
        <w:rPr>
          <w:b/>
          <w:sz w:val="24"/>
        </w:rPr>
        <w:t>3.5 Comportamento diário e comparação entre todos os dias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traj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Comportamento das dimensões do humor ao longo da semana (médias diárias; áreas sombreadas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289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Diagramas de caixa (box plot) das seis dimensões do BRUMS por dia da semana.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6 – Médias diárias das dimensões do BRUMS e teste de Friedman com W de Kendall (variação entre os sete dias).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 de Kendall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0,007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0,032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0,025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0,751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= 0,247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</w:tr>
    </w:tbl>
    <w:p>
      <w:pPr>
        <w:spacing w:after="0"/>
      </w:pPr>
      <w:r>
        <w:rPr>
          <w:i/>
          <w:sz w:val="17"/>
        </w:rPr>
        <w:t>W de Kendall = tamanho de efeito do teste de Friedman (0,1 pequeno; 0,3 moderado; 0,5 grande).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médias diárias, o teste de Friedman e o W de Kendall constam na Tabela 6 (Figuras 1 e 2): houve diferença significativa entre os dias para o vigor (p &lt; 0,001; W = 0,21), a fadiga (p = 0,007; W = 0,16), a tensão (p = 0,025) e a confusão (p &lt; 0,001), sempre com magnitude pequena a moderada, coerente com um microciclo de acúmulo dentro da faixa funcional.</w:t>
      </w:r>
    </w:p>
    <w:p>
      <w:pPr>
        <w:spacing w:before="160" w:after="40"/>
      </w:pPr>
      <w:r>
        <w:rPr>
          <w:sz w:val="22"/>
        </w:rPr>
        <w:t>Tabela 7 – Consistência das medidas repetidas ao longo da semana (coeficiente de correlação intraclasse, ICC).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consistência das medidas repetidas (Tabela 7) foi moderada a boa, sendo mais baixa para a raiva e a confusão — dimensões mais reativas dia a dia.</w:t>
      </w:r>
    </w:p>
    <w:p>
      <w:pPr>
        <w:spacing w:before="160" w:after="40"/>
      </w:pPr>
      <w:r>
        <w:rPr>
          <w:sz w:val="22"/>
        </w:rPr>
        <w:t>Tabela 8 – Pós-teste (médias marginais do modelo misto) por dia, com comparação de cada dia ao Dia 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 física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3,59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5,44*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5,81*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5,67*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6,26*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7,55*</w:t>
            </w:r>
          </w:p>
        </w:tc>
      </w:tr>
    </w:tbl>
    <w:p>
      <w:pPr>
        <w:spacing w:after="0"/>
      </w:pPr>
      <w:r>
        <w:rPr>
          <w:i/>
          <w:sz w:val="17"/>
        </w:rPr>
        <w:t>* diferença significativa em relação ao Dia 1 (Tukey, p &lt; 0,05).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em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Trajetória diária (médias marginais) com comparação de todos os dias ao Dia 1 (* p &lt; 0,05).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Comparando todos os dias entre si (pós-teste de Tukey; Tabela 8; Figura 3), o vigor diferiu significativamente em 9 dos 21 pares de dias e a fadiga em 6 — sempre no sentido de piora em relação aos primeiros dias —, confirmando a deterioração progressiva do eixo energia–fadiga.</w:t>
      </w:r>
    </w:p>
    <w:p>
      <w:pPr>
        <w:spacing w:before="120" w:after="80" w:line="360" w:lineRule="auto"/>
      </w:pPr>
      <w:r>
        <w:rPr>
          <w:b/>
          <w:sz w:val="24"/>
        </w:rPr>
        <w:t>3.6 Confirmação por análise multivariada (MANOVA em escores T)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9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0,317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52,0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0,678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58,3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37,14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0,650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12,73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0,002*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= 0,017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0,252</w:t>
            </w:r>
          </w:p>
        </w:tc>
      </w:tr>
    </w:tbl>
    <w:p>
      <w:pPr>
        <w:spacing w:after="0"/>
      </w:pPr>
      <w:r>
        <w:rPr>
          <w:i/>
          <w:sz w:val="17"/>
        </w:rPr>
        <w:t>Wilks λ = 0,181; F(6,15) = 11,32; p &lt; 0,001; η²ₚ = 0,82. * p &lt; 0,008 (α ajustado por Bonferroni para as seis dimensões).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análise multivariada confirmou a diferença entre o Dia 1 e o Dia 7 (Wilks λ = 0,181; F(6,15) = 11,32; p &lt; 0,001; η²ₚ = 0,82). Nos testes univariados com o critério corrigido de Bonferroni (α = 0,008), apenas o vigor (d = -1,33) e a fadiga (d = +0,78) permaneceram significativos — evidenciando que o efeito se concentra no eixo energia–fadiga —, enquanto a tensão (p = 0,012) e a confusão (p = 0,017), significativas apenas sob α = 0,05, não resistiram à correção (Tabela 9; Figura 4). A resposta aguda pré → pós também foi multivariadamente significativa (Wilks λ = 0,539; p = 0,028), reforçando o achado.</w:t>
      </w:r>
    </w:p>
    <w:p>
      <w:pPr>
        <w:spacing w:before="120" w:after="80" w:line="360" w:lineRule="auto"/>
      </w:pPr>
      <w:r>
        <w:rPr>
          <w:b/>
          <w:sz w:val="24"/>
        </w:rPr>
        <w:t>3.7 Dias de maior expressão de cada estado de humor</w:t>
      </w:r>
    </w:p>
    <w:p>
      <w:pPr>
        <w:spacing w:before="160" w:after="40"/>
      </w:pPr>
      <w:r>
        <w:rPr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Tabela 10 sintetiza os dias de pico: o vigor foi máximo no Dia 1 e mínimo no Dia 7; a fadiga foi máxima no Dia 7; a tensão, máxima no Dia 1; a raiva, máxima no Dia 7; e a depressão, máxima no Dia 7. Em síntese, o início da semana reúne maior prontidão (vigor, tensão e confusão mais altos) e o final concentra a fadiga e a raiva.</w:t>
      </w:r>
    </w:p>
    <w:p>
      <w:pPr>
        <w:spacing w:before="120" w:after="80" w:line="360" w:lineRule="auto"/>
      </w:pPr>
      <w:r>
        <w:rPr>
          <w:b/>
          <w:sz w:val="24"/>
        </w:rPr>
        <w:t>3.8 Comportamento individual de cada variável e suas relações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Figuras 5 a 10 apresentam, para cada dimensão, o comportamento ao longo da semana com a média diária, a banda de confiança de 95% (área sombreada), os diagramas de caixa por dia e o efeito do microciclo, permitindo visualizar individualmente como cada estado de humor evolui.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Vigor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Fadiga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Tensão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Depressão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Raiva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Confusão ao longo da semana: média diária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Correlação de Spearman entre as dimensões do BRUMS com associação significativa (n = 27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= 0,027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Quanto às relações entre as dimensões (Tabela 11), as dimensões negativas associam-se entre si e a fadiga relaciona-se com a depressão e a raiva; o vigor mantém-se relativamente independente. Esse acoplamento depende da carga: no dia de maior vigor a depressão é independente da fadiga (ρ = +0,38), mas no dia de maior fadiga torna-se forte (ρ = +0,76).</w:t>
      </w:r>
    </w:p>
    <w:p>
      <w:pPr>
        <w:spacing w:before="120" w:after="80" w:line="360" w:lineRule="auto"/>
      </w:pPr>
      <w:r>
        <w:rPr>
          <w:b/>
          <w:sz w:val="24"/>
        </w:rPr>
        <w:t>3.9 Classificação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classificação de cada observação em um dos seis perfis de humor oferece uma leitura integrada e visual do estado psicológico da equipe. Ao longo do microciclo, os seis perfis estiveram representados na amostra, com reorganização de prevalência entre o baseline e o último dia de treino.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5356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3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Distribuição (%) dos seis perfis de humor no baseline (Dia 1)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Distribuição dos perfis de humor no baseline e no último dia de treino: n (%).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Baseline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deslocou-se do iceberg (48% no baseline) para a barbatana de tubarão (22% no Dia 7), com o iceberg recuando para 22% (Figura 11; Tabela 12). Essa reorganização categórica, contudo, não alcançou significância estatística (χ² = 8,96; p = 0,111) — resultado esperado dado o pequeno número de observações distribuído por seis perfis, que reduz a contagem esperada por célula e a potência do teste qui-quadrado; a mudança é, portanto, uma tendência descritiva, coerente com a queda multivariada do vigor e a elevação da 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39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6_clust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39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Perfis de humor (clusters) identificados na amostra, representados em escores T (M = 50; DP = 10) nas seis dimensões; percentuais entre parênteses.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forma de cada cluster identificado na amostra (Figura 12) reproduz a taxonomia consagrada dos seis perfis de humor (PARSONS-SMITH; TERRY; MACHIN, 2017): o iceberg, com vigor elevado sobre dimensões negativas baixas; a barbatana de tubarão, com pico isolado de fadiga; o submerso, com todas as dimensões abaixo da média; e o Everest invertido, com todas as negativas elevadas. Comparada à distribuição de referência de uma grande amostra do mesmo contexto brasileiro (898 atletas de elite e de base; DE MIRANDA ROHLFS et al., 2024) — na qual, em avaliação momentânea, o iceberg foi o perfil mais prevalente (34,3%) e os perfis de risco os menos prevalentes (barbatana de tubarão 11,6%; iceberg invertido 6,2%; Everest invertido 2,7%) —, a nossa amostra parte de um predomínio de iceberg semelhante no Dia 1 (48%), mas, ao final do microciclo, eleva marcadamente a barbatana de tubarão (22% no Dia 7), muito acima do patamar de referência. Isso evidencia o efeito específico do acúmulo de carga da última semana de pré-temporada sobre o perfil de fadiga, sem instalação relevante dos perfis de maior risco à saúde mental (Everest invertido e submerso).</w:t>
      </w:r>
    </w:p>
    <w:p>
      <w:pPr>
        <w:spacing w:before="120" w:after="80" w:line="360" w:lineRule="auto"/>
      </w:pPr>
      <w:r>
        <w:rPr>
          <w:b/>
          <w:sz w:val="24"/>
        </w:rPr>
        <w:t>3.10 Aptidão intermitente (T-CAR) e limiar de pico de velocidade</w:t>
      </w:r>
    </w:p>
    <w:p>
      <w:pPr>
        <w:spacing w:before="160" w:after="40"/>
      </w:pPr>
      <w:r>
        <w:rPr>
          <w:sz w:val="22"/>
        </w:rPr>
        <w:t>Tabela 13 – Estatística descritiva do desempenho no Teste de Carminatti (T-CAR).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Parâmetro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Pico de velocidade — T-CAR (km/h)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13,2–17,5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Distância percorrida (m)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3329,3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758,9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2070,0–5360,7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Repetições completadas (n)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45,0–86,0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máxima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198,5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190,0–209,0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de pico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174,0–191,3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FC média no teste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178,7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168,9–186,8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Recuperação da FC em 1 min (bpm)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27,2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19,7–37,3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Impulso de treino – TRIMP (u.a.)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111,8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100,2–121,8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Percepção subjetiva de esforço (0–10)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5,1–8,4</w:t>
            </w:r>
          </w:p>
        </w:tc>
      </w:tr>
    </w:tbl>
    <w:p>
      <w:pPr>
        <w:spacing w:after="0"/>
      </w:pPr>
      <w:r>
        <w:rPr>
          <w:i/>
          <w:sz w:val="17"/>
        </w:rPr>
        <w:t>PV = pico de velocidade; FC = frequência cardíaca; TRIMP = training impulse.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Dispersão e reta de regressão (com banda de IC95%) entre o pico de velocidade do T-CAR e as médias semanais de vigor, fadiga, PTH e fadiga física.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desempenho no T-CAR consta na Tabela 13. A regressão mostrou que atletas com maior pico de velocidade reportaram menos fadiga física (ρ = -0,51; p = 0,008) e mais vigor (ρ = +0,47; p = 0,017) ao longo da semana (Figura 13). A partir de um modelo que estima a probabilidade de um dia de fadiga elevada em função do pico de velocidade, identificou-se um limiar de aproximadamente 14,9 km/h (área sob a curva = 0,67; sensibilidade = 0,77; especificidade = 0,58): abaixo desse valor, os atletas apresentaram maior probabilidade de dias de fadiga elevada, o que fornece uma referência objetiva para individualizar a carga.</w:t>
      </w:r>
    </w:p>
    <w:p>
      <w:pPr>
        <w:spacing w:before="120" w:after="80" w:line="360" w:lineRule="auto"/>
      </w:pPr>
      <w:r>
        <w:rPr>
          <w:b/>
          <w:sz w:val="24"/>
        </w:rPr>
        <w:t>3.11 Sonolência (Epworth) e estresse percebido (PSS-14)</w:t>
      </w:r>
    </w:p>
    <w:p>
      <w:pPr>
        <w:spacing w:before="160" w:after="40"/>
      </w:pPr>
      <w:r>
        <w:rPr>
          <w:sz w:val="22"/>
        </w:rPr>
        <w:t>Tabela 14 – Sonolência (Epworth, 6 itens, 0–18) e estresse percebido (PSS-14, 0–56) no microciclo: descritivos por observação e por atleta, e variação entre os dias.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(obs.)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Mediana (mín–máx)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 ± DP (atleta)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Friedman 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Sonolência (Epworth)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9,9 ± 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(0–18)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9,5 ± 4,4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Estresse (PSS-14)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 (9–40)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 ± 4,5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0,677</w:t>
            </w:r>
          </w:p>
        </w:tc>
      </w:tr>
    </w:tbl>
    <w:p>
      <w:pPr>
        <w:spacing w:after="0"/>
      </w:pPr>
      <w:r>
        <w:rPr>
          <w:i/>
          <w:sz w:val="17"/>
        </w:rPr>
        <w:t>Friedman: teste da variação entre os sete dias. Epworth em versão de 6 itens (sem ponto de corte clínico padrão).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32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o_traj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2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Trajetória diária (média ± IC95%) da sonolência (Epworth) e do estresse percebido (PSS-14) ao longo do microciclo.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percebido, coletados no mesmo diário, tiveram comportamentos distintos ao longo do microciclo (Tabela 14; Figura 14). A sonolência (Epworth) elevou-se progressivamente do primeiro ao último dia (Friedman p = 0,027; W = 0,13), padrão compatível com o acúmulo de fadiga e de débito de sono ao fim da semana de carga. No plano interindividual (média semanal por atleta), atletas mais sonolentos reportaram mais fadiga (ρ = +0,52; p = 0,005) e pior humor global (PTH; ρ = +0,54; p = 0,004), o que posiciona a sonolência como um marcador de recuperação que acompanha a resposta afetiva à carga. O estresse percebido (PSS-14), ao contrário, manteve-se estável entre os dias (Friedman p = 0,677) e em patamar moderado, sem associação significativa com o vigor (ρ = -0,09; p = 0,643) ou com a fadiga (ρ = -0,15; p = 0,466); nenhuma das duas variáveis diferiu entre pré e pós-treino (Epworth p = 0,788; PSS p = 0,882), coerente com a natureza mais estável desses instrumentos. A estabilidade do estresse indica que a deterioração do humor no eixo energia–fadiga foi específica da carga de treino, e não reflexo de um aumento concomitante do estresse percebido.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presente estudo caracterizou o comportamento do humor de handebolistas de elite ao longo da última semana de pré-temporada, e o achado central é inequívoco: a deterioração concentrou-se no eixo energia–fadiga. O vigor caiu e a fadiga subiu de forma consistente, tanto na resposta aguda a cada treino (pré → pós: vigor −14%, d = -0,47; fadiga +36%, d = +0,57) quanto na comparação do primeiro ao último dia (vigor d = -1,33; fadiga d = +0,78). A robustez desse achado é sustentada por três abordagens convergentes — o pós-teste do modelo misto comparando todos os dias, o teste de Friedman e a análise multivariada em escores T (Wilks λ = 0,181; F(6,15) = 11,32; p &lt; 0,001; η²ₚ = 0,82). Sob o critério conservador de Bonferroni, apenas o vigor (η²ₚ = 0,65) e a fadiga (η²ₚ = 0,39) permaneceram significativos, enquanto as dimensões negativas de valência não fadiga, próximas do piso, mantiveram-se estáveis. Confirma-se, assim, que o vigor e a fadiga são as dimensões subjetivas mais sensíveis à carga de treino, em consonância com a literatura de monitoramento (SAW; MAIN; GASTIN, 2016; THORPE et al., 2017; KELLMANN et al., 2018).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de confirmar a deterioração, os resultados detalham a sua dinâmica temporal — o “quando”, tão relevante para a prática. O humor mais positivo concentrou-se no início da semana (vigor máximo no Dia 1) e a fadiga acumulou-se progressivamente até o pico no último dia (Dia 7), acompanhada da raiva e da Perturbação Total do Humor. Sobrepõem-se dois processos: um choque agudo intra-sessão, em que o vigor cai e a fadiga sobe do pré ao pós a cada treino, e um acúmulo ao longo da semana, que desloca o eixo energia–fadiga rumo ao final do microciclo — como evidenciado pelo pós-teste, em que os dias finais diferem significativamente do Dia 1. Essa leitura temporal é diretamente acionável: sinaliza que o reforço da recuperação deve concentrar-se na transição do início da semana (choque de carga) e no encerramento do microciclo (fadiga acumulada), pontos em que o estado psicofisiológico é mais desfavorável.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do handebol ajuda a contextualizar a magnitude dessa resposta. Trata-se de uma modalidade coletiva de invasão, marcadamente intermitente, na qual ações de alta intensidade — sprints, saltos, arremessos, bloqueios, mudanças de direção e contatos — alternam-se com períodos de recuperação incompleta, exigindo simultaneamente potência anaeróbia e capacidade aeróbia intermitente para sustentar o esforço repetido e retardar a instalação da fadiga (KARCHER; BUCHHEIT, 2014; MICHALSIK; AAGAARD, 2015). Evidências atuais confirmam que o treino e o jogo de handebol constituem exercício de alta intensidade, com elevadas demandas aeróbias e anaeróbias (PEREIRA et al., 2024), e que os esportes de invasão se caracterizam por atividade intermitente de alta intensidade intercalada por recuperação de menor intensidade (VACCARO-BENET et al., 2024). Nesse contexto, o acúmulo de carga da última semana de pré-temporada explica tanto a deterioração do eixo energia–fadiga quanto a migração do perfil de humor observadas, reforçando por que o vigor e a fadiga foram as dimensões mais sensíveis do painel.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Um achado de particular interesse foi a natureza dependente da carga na relação entre o afeto negativo e a fadiga. No dia de maior vigor (Dia 1, grupo descansado), as dimensões negativas mostraram-se praticamente independentes da fadiga (depressão × fadiga ρ = +0,38; raiva × fadiga ρ = +0,18); no dia de maior fadiga (Dia 7), esse acoplamento tornou-se forte (depressão × fadiga ρ = +0,76; raiva × fadiga ρ = +0,65). Em outras palavras, quando a equipe está recuperada, o atleta mais irritado ou abatido não é necessariamente o mais cansado; sob carga acumulada, porém, a irritabilidade e o abatimento organizam-se em torno da exaustão e o perfil de humor “fecha”. Esse padrão indica que a interpretação das dimensões negativas deve considerar o estado de fadiga do grupo, e que a elevação conjunta de afeto negativo e fadiga ao fim de um microciclo intenso é, em atletas de elite, uma resposta esperada à carga, e não necessariamente sinal de desajuste.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No plano dos perfis de humor, o deslocamento de prevalência do iceberg (prontidão) para a barbatana de tubarão (fadiga funcional) ao longo da semana — uma tendência descritiva, já que a diferença categórica não atingiu significância — reproduz, em um microciclo de handebol, o “derretimento do iceberg” descrito na literatura de sobrecarga (MORGAN, 1985; HAN; PARSONS-SMITH; TERRY, 2020). É relevante que, mesmo sob o acúmulo de carga da pré-temporada, os perfis associados a maior risco à saúde mental (Everest invertido, submerso e iceberg invertido) não se tornaram prevalentes: a deterioração restringiu-se ao perfil de fadiga, cuja prevalência no último dia (22%) superou nitidamente o patamar de referência de atletas do mesmo contexto brasileiro (11,6% em avaliação momentânea; DE MIRANDA ROHLFS et al., 2024). Esse contraste sugere que, em handebolistas de elite bem condicionados, a resposta ao acúmulo de carga é funcional e transitória — uma fadiga esperada — e não um sinal de risco psicológico. Tal leitura respalda o emprego do perfilamento do humor como triagem de prontidão e de bem-estar em modalidades coletivas de rendimento (TERRY et al., 2021), no qual a BRUMS já demonstrou sensibilidade a fatores como sono, desempenho e resultados de partida (ANDRADE et al., 2016; BRANDT; BEVILACQUA; ANDRADE, 2017; DO NASCIMENTO et al., 2026) e associação com desfechos como a lesão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caráter transitório dessa resposta deve ser lido à luz da posição do microciclo no planejamento. A última semana de pré-temporada corresponde a uma fase de acumulação de carga, que antecede o afinamento (tapering) e a competição. Nesse enquadramento, a queda de vigor e a elevação de fadiga aqui documentadas configuram a assinatura afetiva esperada do acúmulo, e não um estado estável: o modelo de equilíbrio entre estresse e recuperação prevê que, com a redução da carga e o reforço da recuperação nos dias subsequentes, o vigor tende a ser restaurado e o perfil de prontidão (iceberg) a se reinstalar (KELLMANN et al., 2018). Interpretar a fadiga do fim do microciclo como um vale programado — e não como deterioração — é justamente o que habilita a comissão técnica a distinguir a resposta funcional daquela que exigiria intervenção, e reforça o valor de manter o monitoramento do humor na transição para o afinamento, quando a recuperação do estado afetivo é esperada e verificável.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acrescentou uma leitura interindividual à resposta afetiva. Atletas com maior aptidão aeróbia intermitente reportaram mais vigor (ρ = +0,47; p = 0,017) e menos fadiga física (ρ = -0,51; p = 0,008) ao longo da semana, e um limiar de pico de velocidade de aproximadamente 14,9 km/h discriminou os dias de maior fadiga (área sob a curva = 0,67). Esse resultado é coerente com o papel da capacidade aeróbia intermitente em sustentar e repetir esforços de alta intensidade — acelerando a recuperação entre ações e retardando a fadiga — e, portanto, em modular a tolerância à carga do handebol, e com a validade do pico de velocidade do T-CAR como marcador de desempenho físico em modalidades intermitentes (FERNANDES-DA-SILVA et al., 2016). Do ponto de vista aplicado, normalizar a resposta de humor pela aptidão física ajuda a distinguir a fadiga esperada — de atletas menos aptos sob a mesma carga — daquela que possa sinalizar sobrecarga, e o limiar identificado oferece à comissão técnica uma referência objetiva para individualizar a prescrição da carga e o reforço da recuperação.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sonolência e o estresse percebido acrescentaram duas leituras convergentes com o padrão central. A sonolência (Epworth) acompanhou a semana de carga, elevando-se rumo ao último dia e associando-se, entre atletas, a mais fadiga e pior humor global — um marcador de recuperação/sono que corrobora, no plano comportamental, a deterioração do eixo energia–fadiga e reforça a recomendação de vigiar o sono na fase de acumulação (KELLMANN et al., 2018). Já o estresse percebido (PSS-14) permaneceu estável e moderado, sem se relacionar à oscilação do humor; essa ausência de variação é informativa, pois indica que a resposta afetiva ao microciclo teve origem na carga de treino, e não em um aumento concomitante do estresse psicossocial percebido — um argumento a favor da especificidade do achado.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Algumas limitações devem ser consideradas na interpretação dos achados. O tamanho amostral (27 atletas) e o desenho observacional de fase única não permitem inferência causal sobre a carga, e as dimensões negativas, próximas do piso, apresentam variância e fidedignidade reduzidas, o que limita a leitura de suas pequenas variações. A conversão dos escores T foi referenciada à própria amostra — e não a tabelas normativas nacionais de atletas —, o que recomenda cautela na comparação absoluta de prevalências entre estudos e na classificação estrita dos perfis. A sonolência foi medida por uma versão de 6 itens do Epworth (sem ponto de corte clínico validado) e o estresse, pela PSS-14, cujo horizonte de referência é mais amplo que o microciclo; por isso, essas variáveis foram interpretadas por sua média semanal por atleta, e não por flutuações diárias. Como direções futuras, recomenda-se ampliar a amostra e acompanhar múltiplos microciclos, integrar o humor a marcadores de carga externa e interna mensurados continuamente, adotar tabelas normativas e agrupamento semeado (seeded k-means) para a classificação de perfis e testar o valor preditivo dos perfis negativos para desfechos como lesão e sobrecarga (DE MIRANDA ROHLFS et al., 2024, 2025).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humor dos handebolistas migrou da prontidão para a fadiga, com o vigor em queda e a fadiga em ascensão, do início ao fim da semana e dentro de cada treino, confirmado por comparações entre todos os dias e por análise multivariada. Os dias críticos foram identificados — maior vigor no início e maior fadiga no final —, e a aptidão intermitente mostrou-se associada à fadiga, com um limiar de pico de velocidade útil para individualizar a carga. Recomenda-se o acompanhamento contínuo do humor, com atenção especial ao eixo energia–fadiga.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PEREIRA, R. et al. Exercise intensity and reliability during recreational team handball training for 50–77-year-old unexperienced women. Biology of Sport, v. 41, n. 4, p. 253–261, 2024. DOI: 10.5114/biolsport.2024.132995.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VACCARO-BENET, P. et al. Internal and external load profile during beach invasion sports match-play by electronic performance and tracking systems: a systematic review. Sensors, v. 24, n. 12, 3738, 2024. DOI: 10.3390/s24123738.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