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PERFIL DE HUMOR DE ATLETAS DE HANDEBOL NA ÚLTIMA SEMANA DA PRÉ-TEMPORADA COMPETITIVA</w:t>
      </w:r>
    </w:p>
    <w:p>
      <w:pPr>
        <w:jc w:val="center"/>
      </w:pPr>
      <w:r>
        <w:rPr>
          <w:rFonts w:ascii="Times New Roman" w:hAnsi="Times New Roman"/>
          <w:b w:val="0"/>
          <w:i/>
          <w:sz w:val="22"/>
        </w:rPr>
        <w:t>[Autoria e afiliação a preencher]</w:t>
      </w:r>
    </w:p>
    <w:p>
      <w:pPr>
        <w:spacing w:line="240" w:lineRule="auto"/>
      </w:pPr>
      <w:r>
        <w:rPr>
          <w:rFonts w:ascii="Times New Roman" w:hAnsi="Times New Roman"/>
          <w:b/>
          <w:i w:val="0"/>
          <w:sz w:val="24"/>
        </w:rPr>
        <w:t>RESUMO</w:t>
      </w:r>
    </w:p>
    <w:p>
      <w:pPr>
        <w:spacing w:line="360" w:lineRule="auto"/>
        <w:jc w:val="both"/>
      </w:pPr>
      <w:r>
        <w:rPr>
          <w:rFonts w:ascii="Times New Roman" w:hAnsi="Times New Roman"/>
          <w:b w:val="0"/>
          <w:i w:val="0"/>
          <w:sz w:val="24"/>
        </w:rPr>
        <w:t>Objetivo: avaliar e classificar o perfil de humor de atletas de handebol na última semana da pré-temporada competitiva. Método: 27 atletas responderam ao BRUMS-24 (seis subescalas e a Perturbação Total do Humor, PTH) e a autoavaliações de fadiga física e mental duas vezes ao dia — a primeira coleta (pré) e a última (pós) — durante sete dias (456 observações). Analisaram-se estatísticas descritivas completas, a comparação do grupo entre a linha de base (Dia 1, pré) e o último dia (Dia 7, pós), a resposta pré→pós, a regressão linear, a decomposição da variância (sinal, traço e ruído), as derivadas e os pontos de inflexão. Resultados: o humor deteriorou-se de forma concentrada no eixo energia–fadiga — da linha de base ao final, o vigor caiu 47% (dz = −1,02) e a fadiga física (+129%; dz = +2,12), a fadiga do BRUMS (+116%; dz = +0,78), a fadiga mental (+39%; dz = +0,82) e a PTH aumentaram; a fadiga física foi a mais responsiva. A trajetória inflectiu-se em torno do Dia 4 e o perfil iceberg reduziu-se ao longo da semana. Conclusão: o custo do período é somático e acumulativo, sendo a fadiga física e o vigor os marcadores mais sensíveis para o monitoramento individualizado.</w:t>
      </w:r>
    </w:p>
    <w:p>
      <w:pPr>
        <w:spacing w:line="360" w:lineRule="auto"/>
      </w:pPr>
      <w:r>
        <w:rPr>
          <w:rFonts w:ascii="Times New Roman" w:hAnsi="Times New Roman"/>
          <w:b/>
          <w:i w:val="0"/>
          <w:sz w:val="24"/>
        </w:rPr>
        <w:t xml:space="preserve">Palavras-chave: </w:t>
      </w:r>
      <w:r>
        <w:rPr>
          <w:rFonts w:ascii="Times New Roman" w:hAnsi="Times New Roman"/>
          <w:b w:val="0"/>
          <w:i w:val="0"/>
          <w:sz w:val="24"/>
        </w:rPr>
        <w:t>Estado de humor. BRUMS. Fadiga. Pré-temporada. Handebol.</w:t>
      </w:r>
    </w:p>
    <w:p>
      <w:pPr>
        <w:spacing w:before="200" w:after="80"/>
        <w:jc w:val="left"/>
      </w:pPr>
      <w:r>
        <w:rPr>
          <w:rFonts w:ascii="Times New Roman" w:hAnsi="Times New Roman"/>
          <w:b/>
          <w:i w:val="0"/>
          <w:sz w:val="24"/>
        </w:rPr>
        <w:t>1 INTRODUÇÃO</w:t>
      </w:r>
    </w:p>
    <w:p>
      <w:pPr>
        <w:spacing w:line="360" w:lineRule="auto"/>
        <w:ind w:firstLine="709"/>
        <w:jc w:val="both"/>
      </w:pPr>
      <w:r>
        <w:rPr>
          <w:rFonts w:ascii="Times New Roman" w:hAnsi="Times New Roman"/>
          <w:b w:val="0"/>
          <w:i w:val="0"/>
          <w:sz w:val="24"/>
        </w:rPr>
        <w:t>O monitoramento dos estados de humor é uma ferramenta prática, de baixo custo e não invasiva para acompanhar a resposta psicobiológica de atletas à carga de treinamento, sinalizando desadaptações antes que se manifestem em queda de desempenho (TERRY; LANE; FOGARTY, 2003; ROHLFS et al., 2008). A Brunel Mood Scale (BRUMS) operacionaliza o construto em seis dimensões — tensão, depressão, raiva, vigor, fadiga e confusão — e resume o perfil na Perturbação Total do Humor (PTH), índice que integra as dimensões negativas subtraídas do vigor. Atletas saudáveis tendem a exibir o perfil iceberg, com vigor elevado destacando-se acima das dimensões negativas (MORGAN, 1985); o achatamento desse perfil, com a convergência entre vigor e fadiga, indica fadiga acumulada e risco de excesso de treinamento.</w:t>
      </w:r>
    </w:p>
    <w:p>
      <w:pPr>
        <w:spacing w:line="360" w:lineRule="auto"/>
        <w:ind w:firstLine="709"/>
        <w:jc w:val="both"/>
      </w:pPr>
      <w:r>
        <w:rPr>
          <w:rFonts w:ascii="Times New Roman" w:hAnsi="Times New Roman"/>
          <w:b w:val="0"/>
          <w:i w:val="0"/>
          <w:sz w:val="24"/>
        </w:rPr>
        <w:t>A caracterização do comportamento do humor em diferentes escalas temporais — no conjunto da semana, na variação da linha de base ao último dia e na resposta aguda dentro de cada dia — e, simultaneamente, nos níveis coletivo e individual, fornece um panorama interpretável para calibrar a carga e individualizar a recuperação. Este estudo tem por objetivo avaliar e classificar o perfil de humor de atletas de handebol durante a última semana da pré-temporada competitiva e, em especial, modelar a resposta de fadiga por meio de ajustes alométrico e logístico — normalizando as variáveis pela massa corporal e pela aptidão aeróbia (pico de velocidade) e estabelecendo o limiar de aptidão associado à alta fadiga —, descrevendo ainda o comportamento geral do grupo por variável (incluindo a PTH), a variação da linha de base (Dia 1, pré) ao último dia (Dia 7, pós), a resposta pré→pós e a sensibilidade relativa das variáveis.</w:t>
      </w:r>
    </w:p>
    <w:p>
      <w:pPr>
        <w:spacing w:line="360" w:lineRule="auto"/>
        <w:ind w:firstLine="709"/>
        <w:jc w:val="both"/>
      </w:pPr>
      <w:r>
        <w:rPr>
          <w:rFonts w:ascii="Times New Roman" w:hAnsi="Times New Roman"/>
          <w:b w:val="0"/>
          <w:i w:val="0"/>
          <w:sz w:val="24"/>
        </w:rPr>
        <w:t>A escolha por modelos alométricos e logísticos fundamenta-se em evidência consolidada nas modalidades coletivas. O escalonamento alométrico — que expressa a variável como potência da massa corporal (Y = a·massaᵇ), e não como razão simples por quilograma — é o procedimento recomendado para comparar a aptidão de atletas de portes distintos: em jogadores de futebol, o consumo máximo de oxigênio escala com a massa elevada a ≈ 0,72, e não a 1,0 (CHAMARI et al., 2005), e uma metanálise com mais de 6.500 indivíduos confirmou que o expoente de escalonamento difere sistematicamente da unidade (LOLLI et al., 2017), de modo que a razão por quilograma enviesa as comparações a favor dos atletas mais leves. Já a regressão logística associada à curva ROC tornou-se padrão para converter indicadores contínuos de monitoramento em limiares de decisão prática (a probabilidade de um desfecho binário, como alto risco ou alta fadiga): em futebol profissional, razões de carga externa foram modeladas por regressão logística e ROC para prever, semana a semana, o risco de lesão (FOUSEKIS et al., 2025). O presente estudo transpõe esses dois modelos, já validados em esportes coletivos para carga e desempenho, ao monitoramento do humor e da fadiga.</w:t>
      </w:r>
    </w:p>
    <w:p>
      <w:pPr>
        <w:spacing w:before="200" w:after="80"/>
        <w:jc w:val="left"/>
      </w:pPr>
      <w:r>
        <w:rPr>
          <w:rFonts w:ascii="Times New Roman" w:hAnsi="Times New Roman"/>
          <w:b/>
          <w:i w:val="0"/>
          <w:sz w:val="24"/>
        </w:rPr>
        <w:t>2 JUSTIFICATIVA</w:t>
      </w:r>
    </w:p>
    <w:p>
      <w:pPr>
        <w:spacing w:line="360" w:lineRule="auto"/>
        <w:ind w:firstLine="709"/>
        <w:jc w:val="both"/>
      </w:pPr>
      <w:r>
        <w:rPr>
          <w:rFonts w:ascii="Times New Roman" w:hAnsi="Times New Roman"/>
          <w:b w:val="0"/>
          <w:i w:val="0"/>
          <w:sz w:val="24"/>
        </w:rPr>
        <w:t>A última semana pré-competitiva é um período crítico do planejamento, no qual a comissão técnica busca dissipar a fadiga acumulada preservando as adaptações, de modo a maximizar a prontidão para competir. O manejo inadequado da carga nesse intervalo pode deteriorar o humor e sinalizar recuperação incompleta, com repercussões diretas sobre o desempenho; ainda assim, o comportamento do humor nessa janela raramente é caracterizado de forma estruturada nas equipes. Descrevê-lo quantitativamente — com estatística descritiva completa, identificando quais variáveis são mais sensíveis, como se comporta o índice global (PTH) e em que momento a trajetória se inflete — oferece à comissão técnica subsídios objetivos para individualizar a recuperação e intervir no momento oportuno.</w:t>
      </w:r>
    </w:p>
    <w:p>
      <w:pPr>
        <w:spacing w:before="200" w:after="80"/>
        <w:jc w:val="left"/>
      </w:pPr>
      <w:r>
        <w:rPr>
          <w:rFonts w:ascii="Times New Roman" w:hAnsi="Times New Roman"/>
          <w:b/>
          <w:i w:val="0"/>
          <w:sz w:val="24"/>
        </w:rPr>
        <w:t>3 MÉTODO</w:t>
      </w:r>
    </w:p>
    <w:p>
      <w:pPr>
        <w:spacing w:line="360" w:lineRule="auto"/>
        <w:ind w:firstLine="709"/>
        <w:jc w:val="both"/>
      </w:pPr>
      <w:r>
        <w:rPr>
          <w:rFonts w:ascii="Times New Roman" w:hAnsi="Times New Roman"/>
          <w:b w:val="0"/>
          <w:i w:val="0"/>
          <w:sz w:val="24"/>
        </w:rPr>
        <w:t>Estudo descritivo de medidas repetidas, em condições ecológicas de treinamento, com 27 atletas de handebol do sexo masculino acompanhados por sete dias, cada um funcionando como sua própria referência (dados anonimizados, A01–A27). O humor foi avaliado pela BRUMS-24 (seis subescalas de quatro itens, escore de 0 a 16; PTH = tensão + depressão + raiva + fadiga + confusão − vigor) e a fadiga física e mental por escalas de autoavaliação de 0 a 10, autoaplicadas por formulário eletrônico com carimbo de data/hora duas vezes ao dia (a primeira resposta tomada como “pré” e a última como “pós”), totalizando 456 respostas válidas. O processamento e a auditoria interna foram inteiramente roteirizados em Python (Figura 1).</w:t>
      </w:r>
    </w:p>
    <w:p>
      <w:pPr>
        <w:spacing w:line="360" w:lineRule="auto"/>
        <w:ind w:firstLine="709"/>
        <w:jc w:val="both"/>
      </w:pPr>
      <w:r>
        <w:rPr>
          <w:rFonts w:ascii="Times New Roman" w:hAnsi="Times New Roman"/>
          <w:b w:val="0"/>
          <w:i w:val="0"/>
          <w:sz w:val="24"/>
        </w:rPr>
        <w:t>Computaram-se estatísticas descritivas completas (média, desvio-padrão, coeficiente de variação, mediana, intervalo interquartílico, mínimo, máximo, amplitude e assimetria). A variação da linha de base (Dia 1, pré) ao último dia (Dia 7, pós) e a resposta pré→pós foram avaliadas por Wilcoxon pareado com tamanho de efeito (dz); a tendência semanal por regressão linear (coeficiente por dia e R²). A variância de cada variável foi decomposta (modelo atleta + dia) em sinal da semana, traço e ruído, derivando-se o erro típico de medida (ETM), a mudança mínima detectável (MDC95) e a relação sinal-ruído (SNR). A forma da trajetória foi caracterizada por ajuste cúbico das médias diárias (velocidade, aceleração e ponto de inflexão) e por suavização LOWESS. Adotou-se α = 0,05; software Python (pandas, numpy, SciPy, statsmodels).</w:t>
      </w:r>
    </w:p>
    <w:p>
      <w:pPr>
        <w:spacing w:before="120" w:line="240" w:lineRule="auto"/>
        <w:jc w:val="center"/>
      </w:pPr>
      <w:r>
        <w:rPr>
          <w:rFonts w:ascii="Times New Roman" w:hAnsi="Times New Roman"/>
          <w:b w:val="0"/>
          <w:i w:val="0"/>
          <w:sz w:val="20"/>
        </w:rPr>
        <w:t>Figura 1 – Fluxograma do processamento e da análise dos dados em Python, com auditoria interna por script</w:t>
      </w:r>
    </w:p>
    <w:p>
      <w:pPr>
        <w:jc w:val="center"/>
      </w:pPr>
      <w:r>
        <w:drawing>
          <wp:inline xmlns:a="http://schemas.openxmlformats.org/drawingml/2006/main" xmlns:pic="http://schemas.openxmlformats.org/drawingml/2006/picture">
            <wp:extent cx="4937760" cy="3127248"/>
            <wp:docPr id="1" name="Picture 1"/>
            <wp:cNvGraphicFramePr>
              <a:graphicFrameLocks noChangeAspect="1"/>
            </wp:cNvGraphicFramePr>
            <a:graphic>
              <a:graphicData uri="http://schemas.openxmlformats.org/drawingml/2006/picture">
                <pic:pic>
                  <pic:nvPicPr>
                    <pic:cNvPr id="0" name="fig_fluxograma.png"/>
                    <pic:cNvPicPr/>
                  </pic:nvPicPr>
                  <pic:blipFill>
                    <a:blip r:embed="rId9"/>
                    <a:stretch>
                      <a:fillRect/>
                    </a:stretch>
                  </pic:blipFill>
                  <pic:spPr>
                    <a:xfrm>
                      <a:off x="0" y="0"/>
                      <a:ext cx="4937760" cy="312724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4 RESULTADOS</w:t>
      </w:r>
    </w:p>
    <w:p>
      <w:pPr>
        <w:spacing w:before="120" w:after="40"/>
        <w:jc w:val="left"/>
      </w:pPr>
      <w:r>
        <w:rPr>
          <w:rFonts w:ascii="Times New Roman" w:hAnsi="Times New Roman"/>
          <w:b/>
          <w:i w:val="0"/>
          <w:sz w:val="24"/>
        </w:rPr>
        <w:t>4.1 Caracterização sociodemográfica e antropométrica</w:t>
      </w:r>
    </w:p>
    <w:p>
      <w:pPr>
        <w:spacing w:before="120" w:line="240" w:lineRule="auto"/>
        <w:jc w:val="left"/>
      </w:pPr>
      <w:r>
        <w:rPr>
          <w:rFonts w:ascii="Times New Roman" w:hAnsi="Times New Roman"/>
          <w:b w:val="0"/>
          <w:i w:val="0"/>
          <w:sz w:val="20"/>
        </w:rPr>
        <w:t>Tabela 1 – Estatística descritiva sociodemográfica e antropométrica da amostra (n = 27)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M ± DP</w:t>
            </w:r>
          </w:p>
        </w:tc>
        <w:tc>
          <w:tcPr>
            <w:tcW w:type="dxa" w:w="1881"/>
          </w:tcPr>
          <w:p>
            <w:r>
              <w:rPr>
                <w:rFonts w:ascii="Times New Roman" w:hAnsi="Times New Roman"/>
                <w:b/>
                <w:i w:val="0"/>
                <w:sz w:val="17"/>
              </w:rPr>
              <w:t>CV (%)</w:t>
            </w:r>
          </w:p>
        </w:tc>
        <w:tc>
          <w:tcPr>
            <w:tcW w:type="dxa" w:w="1881"/>
          </w:tcPr>
          <w:p>
            <w:r>
              <w:rPr>
                <w:rFonts w:ascii="Times New Roman" w:hAnsi="Times New Roman"/>
                <w:b/>
                <w:i w:val="0"/>
                <w:sz w:val="17"/>
              </w:rPr>
              <w:t>Mediana</w:t>
            </w:r>
          </w:p>
        </w:tc>
        <w:tc>
          <w:tcPr>
            <w:tcW w:type="dxa" w:w="1881"/>
          </w:tcPr>
          <w:p>
            <w:r>
              <w:rPr>
                <w:rFonts w:ascii="Times New Roman" w:hAnsi="Times New Roman"/>
                <w:b/>
                <w:i w:val="0"/>
                <w:sz w:val="17"/>
              </w:rPr>
              <w:t>Mín.–Máx.</w:t>
            </w:r>
          </w:p>
        </w:tc>
      </w:tr>
      <w:tr>
        <w:tc>
          <w:tcPr>
            <w:tcW w:type="dxa" w:w="1881"/>
          </w:tcPr>
          <w:p>
            <w:r>
              <w:rPr>
                <w:rFonts w:ascii="Times New Roman" w:hAnsi="Times New Roman"/>
                <w:b w:val="0"/>
                <w:i w:val="0"/>
                <w:sz w:val="17"/>
              </w:rPr>
              <w:t>Idade (anos)</w:t>
            </w:r>
          </w:p>
        </w:tc>
        <w:tc>
          <w:tcPr>
            <w:tcW w:type="dxa" w:w="1881"/>
          </w:tcPr>
          <w:p>
            <w:r>
              <w:rPr>
                <w:rFonts w:ascii="Times New Roman" w:hAnsi="Times New Roman"/>
                <w:b w:val="0"/>
                <w:i w:val="0"/>
                <w:sz w:val="17"/>
              </w:rPr>
              <w:t>22,0 ± 3,8</w:t>
            </w:r>
          </w:p>
        </w:tc>
        <w:tc>
          <w:tcPr>
            <w:tcW w:type="dxa" w:w="1881"/>
          </w:tcPr>
          <w:p>
            <w:r>
              <w:rPr>
                <w:rFonts w:ascii="Times New Roman" w:hAnsi="Times New Roman"/>
                <w:b w:val="0"/>
                <w:i w:val="0"/>
                <w:sz w:val="17"/>
              </w:rPr>
              <w:t>17,1</w:t>
            </w:r>
          </w:p>
        </w:tc>
        <w:tc>
          <w:tcPr>
            <w:tcW w:type="dxa" w:w="1881"/>
          </w:tcPr>
          <w:p>
            <w:r>
              <w:rPr>
                <w:rFonts w:ascii="Times New Roman" w:hAnsi="Times New Roman"/>
                <w:b w:val="0"/>
                <w:i w:val="0"/>
                <w:sz w:val="17"/>
              </w:rPr>
              <w:t>21,0</w:t>
            </w:r>
          </w:p>
        </w:tc>
        <w:tc>
          <w:tcPr>
            <w:tcW w:type="dxa" w:w="1881"/>
          </w:tcPr>
          <w:p>
            <w:r>
              <w:rPr>
                <w:rFonts w:ascii="Times New Roman" w:hAnsi="Times New Roman"/>
                <w:b w:val="0"/>
                <w:i w:val="0"/>
                <w:sz w:val="17"/>
              </w:rPr>
              <w:t>17,0–38,0</w:t>
            </w:r>
          </w:p>
        </w:tc>
      </w:tr>
      <w:tr>
        <w:tc>
          <w:tcPr>
            <w:tcW w:type="dxa" w:w="1881"/>
          </w:tcPr>
          <w:p>
            <w:r>
              <w:rPr>
                <w:rFonts w:ascii="Times New Roman" w:hAnsi="Times New Roman"/>
                <w:b w:val="0"/>
                <w:i w:val="0"/>
                <w:sz w:val="17"/>
              </w:rPr>
              <w:t>Experiência (anos)</w:t>
            </w:r>
          </w:p>
        </w:tc>
        <w:tc>
          <w:tcPr>
            <w:tcW w:type="dxa" w:w="1881"/>
          </w:tcPr>
          <w:p>
            <w:r>
              <w:rPr>
                <w:rFonts w:ascii="Times New Roman" w:hAnsi="Times New Roman"/>
                <w:b w:val="0"/>
                <w:i w:val="0"/>
                <w:sz w:val="17"/>
              </w:rPr>
              <w:t>10,5 ± 3,8</w:t>
            </w:r>
          </w:p>
        </w:tc>
        <w:tc>
          <w:tcPr>
            <w:tcW w:type="dxa" w:w="1881"/>
          </w:tcPr>
          <w:p>
            <w:r>
              <w:rPr>
                <w:rFonts w:ascii="Times New Roman" w:hAnsi="Times New Roman"/>
                <w:b w:val="0"/>
                <w:i w:val="0"/>
                <w:sz w:val="17"/>
              </w:rPr>
              <w:t>36,2</w:t>
            </w:r>
          </w:p>
        </w:tc>
        <w:tc>
          <w:tcPr>
            <w:tcW w:type="dxa" w:w="1881"/>
          </w:tcPr>
          <w:p>
            <w:r>
              <w:rPr>
                <w:rFonts w:ascii="Times New Roman" w:hAnsi="Times New Roman"/>
                <w:b w:val="0"/>
                <w:i w:val="0"/>
                <w:sz w:val="17"/>
              </w:rPr>
              <w:t>10,0</w:t>
            </w:r>
          </w:p>
        </w:tc>
        <w:tc>
          <w:tcPr>
            <w:tcW w:type="dxa" w:w="1881"/>
          </w:tcPr>
          <w:p>
            <w:r>
              <w:rPr>
                <w:rFonts w:ascii="Times New Roman" w:hAnsi="Times New Roman"/>
                <w:b w:val="0"/>
                <w:i w:val="0"/>
                <w:sz w:val="17"/>
              </w:rPr>
              <w:t>6,0–23,0</w:t>
            </w:r>
          </w:p>
        </w:tc>
      </w:tr>
      <w:tr>
        <w:tc>
          <w:tcPr>
            <w:tcW w:type="dxa" w:w="1881"/>
          </w:tcPr>
          <w:p>
            <w:r>
              <w:rPr>
                <w:rFonts w:ascii="Times New Roman" w:hAnsi="Times New Roman"/>
                <w:b w:val="0"/>
                <w:i w:val="0"/>
                <w:sz w:val="17"/>
              </w:rPr>
              <w:t>Estatura (cm)</w:t>
            </w:r>
          </w:p>
        </w:tc>
        <w:tc>
          <w:tcPr>
            <w:tcW w:type="dxa" w:w="1881"/>
          </w:tcPr>
          <w:p>
            <w:r>
              <w:rPr>
                <w:rFonts w:ascii="Times New Roman" w:hAnsi="Times New Roman"/>
                <w:b w:val="0"/>
                <w:i w:val="0"/>
                <w:sz w:val="17"/>
              </w:rPr>
              <w:t>182,5 ± 6,5</w:t>
            </w:r>
          </w:p>
        </w:tc>
        <w:tc>
          <w:tcPr>
            <w:tcW w:type="dxa" w:w="1881"/>
          </w:tcPr>
          <w:p>
            <w:r>
              <w:rPr>
                <w:rFonts w:ascii="Times New Roman" w:hAnsi="Times New Roman"/>
                <w:b w:val="0"/>
                <w:i w:val="0"/>
                <w:sz w:val="17"/>
              </w:rPr>
              <w:t>3,5</w:t>
            </w:r>
          </w:p>
        </w:tc>
        <w:tc>
          <w:tcPr>
            <w:tcW w:type="dxa" w:w="1881"/>
          </w:tcPr>
          <w:p>
            <w:r>
              <w:rPr>
                <w:rFonts w:ascii="Times New Roman" w:hAnsi="Times New Roman"/>
                <w:b w:val="0"/>
                <w:i w:val="0"/>
                <w:sz w:val="17"/>
              </w:rPr>
              <w:t>182,0</w:t>
            </w:r>
          </w:p>
        </w:tc>
        <w:tc>
          <w:tcPr>
            <w:tcW w:type="dxa" w:w="1881"/>
          </w:tcPr>
          <w:p>
            <w:r>
              <w:rPr>
                <w:rFonts w:ascii="Times New Roman" w:hAnsi="Times New Roman"/>
                <w:b w:val="0"/>
                <w:i w:val="0"/>
                <w:sz w:val="17"/>
              </w:rPr>
              <w:t>170,8–200,0</w:t>
            </w:r>
          </w:p>
        </w:tc>
      </w:tr>
      <w:tr>
        <w:tc>
          <w:tcPr>
            <w:tcW w:type="dxa" w:w="1881"/>
          </w:tcPr>
          <w:p>
            <w:r>
              <w:rPr>
                <w:rFonts w:ascii="Times New Roman" w:hAnsi="Times New Roman"/>
                <w:b w:val="0"/>
                <w:i w:val="0"/>
                <w:sz w:val="17"/>
              </w:rPr>
              <w:t>Massa corporal (kg)</w:t>
            </w:r>
          </w:p>
        </w:tc>
        <w:tc>
          <w:tcPr>
            <w:tcW w:type="dxa" w:w="1881"/>
          </w:tcPr>
          <w:p>
            <w:r>
              <w:rPr>
                <w:rFonts w:ascii="Times New Roman" w:hAnsi="Times New Roman"/>
                <w:b w:val="0"/>
                <w:i w:val="0"/>
                <w:sz w:val="17"/>
              </w:rPr>
              <w:t>85,8 ± 15,7</w:t>
            </w:r>
          </w:p>
        </w:tc>
        <w:tc>
          <w:tcPr>
            <w:tcW w:type="dxa" w:w="1881"/>
          </w:tcPr>
          <w:p>
            <w:r>
              <w:rPr>
                <w:rFonts w:ascii="Times New Roman" w:hAnsi="Times New Roman"/>
                <w:b w:val="0"/>
                <w:i w:val="0"/>
                <w:sz w:val="17"/>
              </w:rPr>
              <w:t>18,3</w:t>
            </w:r>
          </w:p>
        </w:tc>
        <w:tc>
          <w:tcPr>
            <w:tcW w:type="dxa" w:w="1881"/>
          </w:tcPr>
          <w:p>
            <w:r>
              <w:rPr>
                <w:rFonts w:ascii="Times New Roman" w:hAnsi="Times New Roman"/>
                <w:b w:val="0"/>
                <w:i w:val="0"/>
                <w:sz w:val="17"/>
              </w:rPr>
              <w:t>84,9</w:t>
            </w:r>
          </w:p>
        </w:tc>
        <w:tc>
          <w:tcPr>
            <w:tcW w:type="dxa" w:w="1881"/>
          </w:tcPr>
          <w:p>
            <w:r>
              <w:rPr>
                <w:rFonts w:ascii="Times New Roman" w:hAnsi="Times New Roman"/>
                <w:b w:val="0"/>
                <w:i w:val="0"/>
                <w:sz w:val="17"/>
              </w:rPr>
              <w:t>58,8–132,6</w:t>
            </w:r>
          </w:p>
        </w:tc>
      </w:tr>
      <w:tr>
        <w:tc>
          <w:tcPr>
            <w:tcW w:type="dxa" w:w="1881"/>
          </w:tcPr>
          <w:p>
            <w:r>
              <w:rPr>
                <w:rFonts w:ascii="Times New Roman" w:hAnsi="Times New Roman"/>
                <w:b w:val="0"/>
                <w:i w:val="0"/>
                <w:sz w:val="17"/>
              </w:rPr>
              <w:t>Gordura corporal (%)</w:t>
            </w:r>
          </w:p>
        </w:tc>
        <w:tc>
          <w:tcPr>
            <w:tcW w:type="dxa" w:w="1881"/>
          </w:tcPr>
          <w:p>
            <w:r>
              <w:rPr>
                <w:rFonts w:ascii="Times New Roman" w:hAnsi="Times New Roman"/>
                <w:b w:val="0"/>
                <w:i w:val="0"/>
                <w:sz w:val="17"/>
              </w:rPr>
              <w:t>11,6 ± 5,3</w:t>
            </w:r>
          </w:p>
        </w:tc>
        <w:tc>
          <w:tcPr>
            <w:tcW w:type="dxa" w:w="1881"/>
          </w:tcPr>
          <w:p>
            <w:r>
              <w:rPr>
                <w:rFonts w:ascii="Times New Roman" w:hAnsi="Times New Roman"/>
                <w:b w:val="0"/>
                <w:i w:val="0"/>
                <w:sz w:val="17"/>
              </w:rPr>
              <w:t>46,2</w:t>
            </w:r>
          </w:p>
        </w:tc>
        <w:tc>
          <w:tcPr>
            <w:tcW w:type="dxa" w:w="1881"/>
          </w:tcPr>
          <w:p>
            <w:r>
              <w:rPr>
                <w:rFonts w:ascii="Times New Roman" w:hAnsi="Times New Roman"/>
                <w:b w:val="0"/>
                <w:i w:val="0"/>
                <w:sz w:val="17"/>
              </w:rPr>
              <w:t>11,0</w:t>
            </w:r>
          </w:p>
        </w:tc>
        <w:tc>
          <w:tcPr>
            <w:tcW w:type="dxa" w:w="1881"/>
          </w:tcPr>
          <w:p>
            <w:r>
              <w:rPr>
                <w:rFonts w:ascii="Times New Roman" w:hAnsi="Times New Roman"/>
                <w:b w:val="0"/>
                <w:i w:val="0"/>
                <w:sz w:val="17"/>
              </w:rPr>
              <w:t>5,0–25,0</w:t>
            </w:r>
          </w:p>
        </w:tc>
      </w:tr>
      <w:tr>
        <w:tc>
          <w:tcPr>
            <w:tcW w:type="dxa" w:w="1881"/>
          </w:tcPr>
          <w:p>
            <w:r>
              <w:rPr>
                <w:rFonts w:ascii="Times New Roman" w:hAnsi="Times New Roman"/>
                <w:b w:val="0"/>
                <w:i w:val="0"/>
                <w:sz w:val="17"/>
              </w:rPr>
              <w:t>Pico de velocidade T-CAR (km/h)</w:t>
            </w:r>
          </w:p>
        </w:tc>
        <w:tc>
          <w:tcPr>
            <w:tcW w:type="dxa" w:w="1881"/>
          </w:tcPr>
          <w:p>
            <w:r>
              <w:rPr>
                <w:rFonts w:ascii="Times New Roman" w:hAnsi="Times New Roman"/>
                <w:b w:val="0"/>
                <w:i w:val="0"/>
                <w:sz w:val="17"/>
              </w:rPr>
              <w:t>14,9 ± 1,1</w:t>
            </w:r>
          </w:p>
        </w:tc>
        <w:tc>
          <w:tcPr>
            <w:tcW w:type="dxa" w:w="1881"/>
          </w:tcPr>
          <w:p>
            <w:r>
              <w:rPr>
                <w:rFonts w:ascii="Times New Roman" w:hAnsi="Times New Roman"/>
                <w:b w:val="0"/>
                <w:i w:val="0"/>
                <w:sz w:val="17"/>
              </w:rPr>
              <w:t>7,1</w:t>
            </w:r>
          </w:p>
        </w:tc>
        <w:tc>
          <w:tcPr>
            <w:tcW w:type="dxa" w:w="1881"/>
          </w:tcPr>
          <w:p>
            <w:r>
              <w:rPr>
                <w:rFonts w:ascii="Times New Roman" w:hAnsi="Times New Roman"/>
                <w:b w:val="0"/>
                <w:i w:val="0"/>
                <w:sz w:val="17"/>
              </w:rPr>
              <w:t>14,9</w:t>
            </w:r>
          </w:p>
        </w:tc>
        <w:tc>
          <w:tcPr>
            <w:tcW w:type="dxa" w:w="1881"/>
          </w:tcPr>
          <w:p>
            <w:r>
              <w:rPr>
                <w:rFonts w:ascii="Times New Roman" w:hAnsi="Times New Roman"/>
                <w:b w:val="0"/>
                <w:i w:val="0"/>
                <w:sz w:val="17"/>
              </w:rPr>
              <w:t>13,2–17,5</w:t>
            </w:r>
          </w:p>
        </w:tc>
      </w:tr>
      <w:tr>
        <w:tc>
          <w:tcPr>
            <w:tcW w:type="dxa" w:w="1881"/>
          </w:tcPr>
          <w:p>
            <w:r>
              <w:rPr>
                <w:rFonts w:ascii="Times New Roman" w:hAnsi="Times New Roman"/>
                <w:b w:val="0"/>
                <w:i w:val="0"/>
                <w:sz w:val="17"/>
              </w:rPr>
              <w:t>CMJ (cm)</w:t>
            </w:r>
          </w:p>
        </w:tc>
        <w:tc>
          <w:tcPr>
            <w:tcW w:type="dxa" w:w="1881"/>
          </w:tcPr>
          <w:p>
            <w:r>
              <w:rPr>
                <w:rFonts w:ascii="Times New Roman" w:hAnsi="Times New Roman"/>
                <w:b w:val="0"/>
                <w:i w:val="0"/>
                <w:sz w:val="17"/>
              </w:rPr>
              <w:t>39,8 ± 5,3</w:t>
            </w:r>
          </w:p>
        </w:tc>
        <w:tc>
          <w:tcPr>
            <w:tcW w:type="dxa" w:w="1881"/>
          </w:tcPr>
          <w:p>
            <w:r>
              <w:rPr>
                <w:rFonts w:ascii="Times New Roman" w:hAnsi="Times New Roman"/>
                <w:b w:val="0"/>
                <w:i w:val="0"/>
                <w:sz w:val="17"/>
              </w:rPr>
              <w:t>13,3</w:t>
            </w:r>
          </w:p>
        </w:tc>
        <w:tc>
          <w:tcPr>
            <w:tcW w:type="dxa" w:w="1881"/>
          </w:tcPr>
          <w:p>
            <w:r>
              <w:rPr>
                <w:rFonts w:ascii="Times New Roman" w:hAnsi="Times New Roman"/>
                <w:b w:val="0"/>
                <w:i w:val="0"/>
                <w:sz w:val="17"/>
              </w:rPr>
              <w:t>40,0</w:t>
            </w:r>
          </w:p>
        </w:tc>
        <w:tc>
          <w:tcPr>
            <w:tcW w:type="dxa" w:w="1881"/>
          </w:tcPr>
          <w:p>
            <w:r>
              <w:rPr>
                <w:rFonts w:ascii="Times New Roman" w:hAnsi="Times New Roman"/>
                <w:b w:val="0"/>
                <w:i w:val="0"/>
                <w:sz w:val="17"/>
              </w:rPr>
              <w:t>28,5–48,8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amostra, homogênea, distribuiu-se por posição em 11 armadores, 9 alas, 4 pivôs e 3 goleiros. Trata-se de atletas adultos, de estatura e massa elevadas e boa aptidão aeróbia (pico de velocidade no T-CAR ≈ 14.9 km/h), com coeficientes de variação moderados, exceto na experiência e na gordura corporal, mais dispersas.</w:t>
      </w:r>
    </w:p>
    <w:p>
      <w:pPr>
        <w:spacing w:before="120" w:after="40"/>
        <w:jc w:val="left"/>
      </w:pPr>
      <w:r>
        <w:rPr>
          <w:rFonts w:ascii="Times New Roman" w:hAnsi="Times New Roman"/>
          <w:b/>
          <w:i w:val="0"/>
          <w:sz w:val="24"/>
        </w:rPr>
        <w:t>4.2 Estatística descritiva das variáveis de humor e fadiga</w:t>
      </w:r>
    </w:p>
    <w:p>
      <w:pPr>
        <w:spacing w:before="120" w:line="240" w:lineRule="auto"/>
        <w:jc w:val="left"/>
      </w:pPr>
      <w:r>
        <w:rPr>
          <w:rFonts w:ascii="Times New Roman" w:hAnsi="Times New Roman"/>
          <w:b w:val="0"/>
          <w:i w:val="0"/>
          <w:sz w:val="20"/>
        </w:rPr>
        <w:t>Tabela 2 – Estatística descritiva completa do humor e da fadiga na semana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 ± DP</w:t>
            </w:r>
          </w:p>
        </w:tc>
        <w:tc>
          <w:tcPr>
            <w:tcW w:type="dxa" w:w="1344"/>
          </w:tcPr>
          <w:p>
            <w:r>
              <w:rPr>
                <w:rFonts w:ascii="Times New Roman" w:hAnsi="Times New Roman"/>
                <w:b/>
                <w:i w:val="0"/>
                <w:sz w:val="17"/>
              </w:rPr>
              <w:t>Mediana [IIQ]</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Assim.</w:t>
            </w:r>
          </w:p>
        </w:tc>
        <w:tc>
          <w:tcPr>
            <w:tcW w:type="dxa" w:w="1344"/>
          </w:tcPr>
          <w:p>
            <w:r>
              <w:rPr>
                <w:rFonts w:ascii="Times New Roman" w:hAnsi="Times New Roman"/>
                <w:b/>
                <w:i w:val="0"/>
                <w:sz w:val="17"/>
              </w:rPr>
              <w:t>% piso</w:t>
            </w:r>
          </w:p>
        </w:tc>
      </w:tr>
      <w:tr>
        <w:tc>
          <w:tcPr>
            <w:tcW w:type="dxa" w:w="1344"/>
          </w:tcPr>
          <w:p>
            <w:r>
              <w:rPr>
                <w:rFonts w:ascii="Times New Roman" w:hAnsi="Times New Roman"/>
                <w:b w:val="0"/>
                <w:i w:val="0"/>
                <w:sz w:val="17"/>
              </w:rPr>
              <w:t>Tensão</w:t>
            </w:r>
          </w:p>
        </w:tc>
        <w:tc>
          <w:tcPr>
            <w:tcW w:type="dxa" w:w="1344"/>
          </w:tcPr>
          <w:p>
            <w:r>
              <w:rPr>
                <w:rFonts w:ascii="Times New Roman" w:hAnsi="Times New Roman"/>
                <w:b w:val="0"/>
                <w:i w:val="0"/>
                <w:sz w:val="17"/>
              </w:rPr>
              <w:t>1,42 ± 1,82</w:t>
            </w:r>
          </w:p>
        </w:tc>
        <w:tc>
          <w:tcPr>
            <w:tcW w:type="dxa" w:w="1344"/>
          </w:tcPr>
          <w:p>
            <w:r>
              <w:rPr>
                <w:rFonts w:ascii="Times New Roman" w:hAnsi="Times New Roman"/>
                <w:b w:val="0"/>
                <w:i w:val="0"/>
                <w:sz w:val="17"/>
              </w:rPr>
              <w:t>1,0 [2,0]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+1,44</w:t>
            </w:r>
          </w:p>
        </w:tc>
        <w:tc>
          <w:tcPr>
            <w:tcW w:type="dxa" w:w="1344"/>
          </w:tcPr>
          <w:p>
            <w:r>
              <w:rPr>
                <w:rFonts w:ascii="Times New Roman" w:hAnsi="Times New Roman"/>
                <w:b w:val="0"/>
                <w:i w:val="0"/>
                <w:sz w:val="17"/>
              </w:rPr>
              <w:t>47%</w:t>
            </w:r>
          </w:p>
        </w:tc>
      </w:tr>
      <w:tr>
        <w:tc>
          <w:tcPr>
            <w:tcW w:type="dxa" w:w="1344"/>
          </w:tcPr>
          <w:p>
            <w:r>
              <w:rPr>
                <w:rFonts w:ascii="Times New Roman" w:hAnsi="Times New Roman"/>
                <w:b w:val="0"/>
                <w:i w:val="0"/>
                <w:sz w:val="17"/>
              </w:rPr>
              <w:t>Depressão</w:t>
            </w:r>
          </w:p>
        </w:tc>
        <w:tc>
          <w:tcPr>
            <w:tcW w:type="dxa" w:w="1344"/>
          </w:tcPr>
          <w:p>
            <w:r>
              <w:rPr>
                <w:rFonts w:ascii="Times New Roman" w:hAnsi="Times New Roman"/>
                <w:b w:val="0"/>
                <w:i w:val="0"/>
                <w:sz w:val="17"/>
              </w:rPr>
              <w:t>1,07 ± 2,45</w:t>
            </w:r>
          </w:p>
        </w:tc>
        <w:tc>
          <w:tcPr>
            <w:tcW w:type="dxa" w:w="1344"/>
          </w:tcPr>
          <w:p>
            <w:r>
              <w:rPr>
                <w:rFonts w:ascii="Times New Roman" w:hAnsi="Times New Roman"/>
                <w:b w:val="0"/>
                <w:i w:val="0"/>
                <w:sz w:val="17"/>
              </w:rPr>
              <w:t>0,0 [1,0]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+3,54</w:t>
            </w:r>
          </w:p>
        </w:tc>
        <w:tc>
          <w:tcPr>
            <w:tcW w:type="dxa" w:w="1344"/>
          </w:tcPr>
          <w:p>
            <w:r>
              <w:rPr>
                <w:rFonts w:ascii="Times New Roman" w:hAnsi="Times New Roman"/>
                <w:b w:val="0"/>
                <w:i w:val="0"/>
                <w:sz w:val="17"/>
              </w:rPr>
              <w:t>66%</w:t>
            </w:r>
          </w:p>
        </w:tc>
      </w:tr>
      <w:tr>
        <w:tc>
          <w:tcPr>
            <w:tcW w:type="dxa" w:w="1344"/>
          </w:tcPr>
          <w:p>
            <w:r>
              <w:rPr>
                <w:rFonts w:ascii="Times New Roman" w:hAnsi="Times New Roman"/>
                <w:b w:val="0"/>
                <w:i w:val="0"/>
                <w:sz w:val="17"/>
              </w:rPr>
              <w:t>Raiva</w:t>
            </w:r>
          </w:p>
        </w:tc>
        <w:tc>
          <w:tcPr>
            <w:tcW w:type="dxa" w:w="1344"/>
          </w:tcPr>
          <w:p>
            <w:r>
              <w:rPr>
                <w:rFonts w:ascii="Times New Roman" w:hAnsi="Times New Roman"/>
                <w:b w:val="0"/>
                <w:i w:val="0"/>
                <w:sz w:val="17"/>
              </w:rPr>
              <w:t>1,67 ± 2,89</w:t>
            </w:r>
          </w:p>
        </w:tc>
        <w:tc>
          <w:tcPr>
            <w:tcW w:type="dxa" w:w="1344"/>
          </w:tcPr>
          <w:p>
            <w:r>
              <w:rPr>
                <w:rFonts w:ascii="Times New Roman" w:hAnsi="Times New Roman"/>
                <w:b w:val="0"/>
                <w:i w:val="0"/>
                <w:sz w:val="17"/>
              </w:rPr>
              <w:t>0,0 [2,0]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+2,06</w:t>
            </w:r>
          </w:p>
        </w:tc>
        <w:tc>
          <w:tcPr>
            <w:tcW w:type="dxa" w:w="1344"/>
          </w:tcPr>
          <w:p>
            <w:r>
              <w:rPr>
                <w:rFonts w:ascii="Times New Roman" w:hAnsi="Times New Roman"/>
                <w:b w:val="0"/>
                <w:i w:val="0"/>
                <w:sz w:val="17"/>
              </w:rPr>
              <w:t>61%</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5,70 ± 3,32</w:t>
            </w:r>
          </w:p>
        </w:tc>
        <w:tc>
          <w:tcPr>
            <w:tcW w:type="dxa" w:w="1344"/>
          </w:tcPr>
          <w:p>
            <w:r>
              <w:rPr>
                <w:rFonts w:ascii="Times New Roman" w:hAnsi="Times New Roman"/>
                <w:b w:val="0"/>
                <w:i w:val="0"/>
                <w:sz w:val="17"/>
              </w:rPr>
              <w:t>6,0 [5,0]</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9%</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5,41 ± 4,04</w:t>
            </w:r>
          </w:p>
        </w:tc>
        <w:tc>
          <w:tcPr>
            <w:tcW w:type="dxa" w:w="1344"/>
          </w:tcPr>
          <w:p>
            <w:r>
              <w:rPr>
                <w:rFonts w:ascii="Times New Roman" w:hAnsi="Times New Roman"/>
                <w:b w:val="0"/>
                <w:i w:val="0"/>
                <w:sz w:val="17"/>
              </w:rPr>
              <w:t>4,0 [6,0]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+0,64</w:t>
            </w:r>
          </w:p>
        </w:tc>
        <w:tc>
          <w:tcPr>
            <w:tcW w:type="dxa" w:w="1344"/>
          </w:tcPr>
          <w:p>
            <w:r>
              <w:rPr>
                <w:rFonts w:ascii="Times New Roman" w:hAnsi="Times New Roman"/>
                <w:b w:val="0"/>
                <w:i w:val="0"/>
                <w:sz w:val="17"/>
              </w:rPr>
              <w:t>10%</w:t>
            </w:r>
          </w:p>
        </w:tc>
      </w:tr>
      <w:tr>
        <w:tc>
          <w:tcPr>
            <w:tcW w:type="dxa" w:w="1344"/>
          </w:tcPr>
          <w:p>
            <w:r>
              <w:rPr>
                <w:rFonts w:ascii="Times New Roman" w:hAnsi="Times New Roman"/>
                <w:b w:val="0"/>
                <w:i w:val="0"/>
                <w:sz w:val="17"/>
              </w:rPr>
              <w:t>Confusão</w:t>
            </w:r>
          </w:p>
        </w:tc>
        <w:tc>
          <w:tcPr>
            <w:tcW w:type="dxa" w:w="1344"/>
          </w:tcPr>
          <w:p>
            <w:r>
              <w:rPr>
                <w:rFonts w:ascii="Times New Roman" w:hAnsi="Times New Roman"/>
                <w:b w:val="0"/>
                <w:i w:val="0"/>
                <w:sz w:val="17"/>
              </w:rPr>
              <w:t>0,52 ± 1,27</w:t>
            </w:r>
          </w:p>
        </w:tc>
        <w:tc>
          <w:tcPr>
            <w:tcW w:type="dxa" w:w="1344"/>
          </w:tcPr>
          <w:p>
            <w:r>
              <w:rPr>
                <w:rFonts w:ascii="Times New Roman" w:hAnsi="Times New Roman"/>
                <w:b w:val="0"/>
                <w:i w:val="0"/>
                <w:sz w:val="17"/>
              </w:rPr>
              <w:t>0,0 [0,0]</w:t>
            </w:r>
          </w:p>
        </w:tc>
        <w:tc>
          <w:tcPr>
            <w:tcW w:type="dxa" w:w="1344"/>
          </w:tcPr>
          <w:p>
            <w:r>
              <w:rPr>
                <w:rFonts w:ascii="Times New Roman" w:hAnsi="Times New Roman"/>
                <w:b w:val="0"/>
                <w:i w:val="0"/>
                <w:sz w:val="17"/>
              </w:rPr>
              <w:t>0–8</w:t>
            </w:r>
          </w:p>
        </w:tc>
        <w:tc>
          <w:tcPr>
            <w:tcW w:type="dxa" w:w="1344"/>
          </w:tcPr>
          <w:p>
            <w:r>
              <w:rPr>
                <w:rFonts w:ascii="Times New Roman" w:hAnsi="Times New Roman"/>
                <w:b w:val="0"/>
                <w:i w:val="0"/>
                <w:sz w:val="17"/>
              </w:rPr>
              <w:t>8</w:t>
            </w:r>
          </w:p>
        </w:tc>
        <w:tc>
          <w:tcPr>
            <w:tcW w:type="dxa" w:w="1344"/>
          </w:tcPr>
          <w:p>
            <w:r>
              <w:rPr>
                <w:rFonts w:ascii="Times New Roman" w:hAnsi="Times New Roman"/>
                <w:b w:val="0"/>
                <w:i w:val="0"/>
                <w:sz w:val="17"/>
              </w:rPr>
              <w:t>+3,25</w:t>
            </w:r>
          </w:p>
        </w:tc>
        <w:tc>
          <w:tcPr>
            <w:tcW w:type="dxa" w:w="1344"/>
          </w:tcPr>
          <w:p>
            <w:r>
              <w:rPr>
                <w:rFonts w:ascii="Times New Roman" w:hAnsi="Times New Roman"/>
                <w:b w:val="0"/>
                <w:i w:val="0"/>
                <w:sz w:val="17"/>
              </w:rPr>
              <w:t>78%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4,39 ± 10,07</w:t>
            </w:r>
          </w:p>
        </w:tc>
        <w:tc>
          <w:tcPr>
            <w:tcW w:type="dxa" w:w="1344"/>
          </w:tcPr>
          <w:p>
            <w:r>
              <w:rPr>
                <w:rFonts w:ascii="Times New Roman" w:hAnsi="Times New Roman"/>
                <w:b w:val="0"/>
                <w:i w:val="0"/>
                <w:sz w:val="17"/>
              </w:rPr>
              <w:t>2,0 [11,0]</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+1,45</w:t>
            </w:r>
          </w:p>
        </w:tc>
        <w:tc>
          <w:tcPr>
            <w:tcW w:type="dxa" w:w="1344"/>
          </w:tcPr>
          <w:p>
            <w:r>
              <w:rPr>
                <w:rFonts w:ascii="Times New Roman" w:hAnsi="Times New Roman"/>
                <w:b w:val="0"/>
                <w:i w:val="0"/>
                <w:sz w:val="17"/>
              </w:rPr>
              <w:t>0%</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5,88 ± 2,46</w:t>
            </w:r>
          </w:p>
        </w:tc>
        <w:tc>
          <w:tcPr>
            <w:tcW w:type="dxa" w:w="1344"/>
          </w:tcPr>
          <w:p>
            <w:r>
              <w:rPr>
                <w:rFonts w:ascii="Times New Roman" w:hAnsi="Times New Roman"/>
                <w:b w:val="0"/>
                <w:i w:val="0"/>
                <w:sz w:val="17"/>
              </w:rPr>
              <w:t>6,0 [4,0]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-0,26</w:t>
            </w:r>
          </w:p>
        </w:tc>
        <w:tc>
          <w:tcPr>
            <w:tcW w:type="dxa" w:w="1344"/>
          </w:tcPr>
          <w:p>
            <w:r>
              <w:rPr>
                <w:rFonts w:ascii="Times New Roman" w:hAnsi="Times New Roman"/>
                <w:b w:val="0"/>
                <w:i w:val="0"/>
                <w:sz w:val="17"/>
              </w:rPr>
              <w:t>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4,62 ± 2,85</w:t>
            </w:r>
          </w:p>
        </w:tc>
        <w:tc>
          <w:tcPr>
            <w:tcW w:type="dxa" w:w="1344"/>
          </w:tcPr>
          <w:p>
            <w:r>
              <w:rPr>
                <w:rFonts w:ascii="Times New Roman" w:hAnsi="Times New Roman"/>
                <w:b w:val="0"/>
                <w:i w:val="0"/>
                <w:sz w:val="17"/>
              </w:rPr>
              <w:t>5,0 [5,0]</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7%</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conjunto da semana, o grupo preservou, em média, o perfil iceberg, com o vigor acima das subescalas negativas (Figura 2, radar). As subescalas negativas concentram-se no piso (tensão, depressão, raiva e confusão com 50–80% dos escores no valor mínimo e assimetria positiva acentuada), enquanto o vigor e a fadiga física são aproximadamente simétricos e bem dispersos (Gráfico 1, histogramas). A fadiga foi a dimensão negativa mais expressiva, e a ampla amplitude da PTH (−12 a 52) revela marcada heterogeneidade interindividual. Os diagramas de caixa por dia (Gráfico 2) evidenciam o deslocamento progressivo do vigor (para baixo) e das fadigas e da PTH (para cima).</w:t>
      </w:r>
    </w:p>
    <w:p>
      <w:pPr>
        <w:spacing w:before="120" w:line="240" w:lineRule="auto"/>
        <w:jc w:val="center"/>
      </w:pPr>
      <w:r>
        <w:rPr>
          <w:rFonts w:ascii="Times New Roman" w:hAnsi="Times New Roman"/>
          <w:b w:val="0"/>
          <w:i w:val="0"/>
          <w:sz w:val="20"/>
        </w:rPr>
        <w:t>Figura 2 – Forma do perfil de humor (escores z) no Dia 1 e no Dia 7</w:t>
      </w:r>
    </w:p>
    <w:p>
      <w:pPr>
        <w:jc w:val="center"/>
      </w:pPr>
      <w:r>
        <w:drawing>
          <wp:inline xmlns:a="http://schemas.openxmlformats.org/drawingml/2006/main" xmlns:pic="http://schemas.openxmlformats.org/drawingml/2006/picture">
            <wp:extent cx="4023360" cy="2263140"/>
            <wp:docPr id="2" name="Picture 2"/>
            <wp:cNvGraphicFramePr>
              <a:graphicFrameLocks noChangeAspect="1"/>
            </wp:cNvGraphicFramePr>
            <a:graphic>
              <a:graphicData uri="http://schemas.openxmlformats.org/drawingml/2006/picture">
                <pic:pic>
                  <pic:nvPicPr>
                    <pic:cNvPr id="0" name="sem_f_radar.png"/>
                    <pic:cNvPicPr/>
                  </pic:nvPicPr>
                  <pic:blipFill>
                    <a:blip r:embed="rId10"/>
                    <a:stretch>
                      <a:fillRect/>
                    </a:stretch>
                  </pic:blipFill>
                  <pic:spPr>
                    <a:xfrm>
                      <a:off x="0" y="0"/>
                      <a:ext cx="4023360" cy="22631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1 – Histogramas de distribuição das cinco variáveis centrais na semana (linha tracejada = média)</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v_hist.png"/>
                    <pic:cNvPicPr/>
                  </pic:nvPicPr>
                  <pic:blipFill>
                    <a:blip r:embed="rId1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2 – Diagramas de caixa (boxplots) das cinco variáveis centrais por dia</w:t>
      </w:r>
    </w:p>
    <w:p>
      <w:pPr>
        <w:jc w:val="center"/>
      </w:pPr>
      <w:r>
        <w:drawing>
          <wp:inline xmlns:a="http://schemas.openxmlformats.org/drawingml/2006/main" xmlns:pic="http://schemas.openxmlformats.org/drawingml/2006/picture">
            <wp:extent cx="5120640" cy="3012141"/>
            <wp:docPr id="4" name="Picture 4"/>
            <wp:cNvGraphicFramePr>
              <a:graphicFrameLocks noChangeAspect="1"/>
            </wp:cNvGraphicFramePr>
            <a:graphic>
              <a:graphicData uri="http://schemas.openxmlformats.org/drawingml/2006/picture">
                <pic:pic>
                  <pic:nvPicPr>
                    <pic:cNvPr id="0" name="v_box.png"/>
                    <pic:cNvPicPr/>
                  </pic:nvPicPr>
                  <pic:blipFill>
                    <a:blip r:embed="rId12"/>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4.3 Tendência e comportamento ao longo da semana</w:t>
      </w:r>
    </w:p>
    <w:p>
      <w:pPr>
        <w:spacing w:before="120" w:line="240" w:lineRule="auto"/>
        <w:jc w:val="left"/>
      </w:pPr>
      <w:r>
        <w:rPr>
          <w:rFonts w:ascii="Times New Roman" w:hAnsi="Times New Roman"/>
          <w:b w:val="0"/>
          <w:i w:val="0"/>
          <w:sz w:val="20"/>
        </w:rPr>
        <w:t>Tabela 3 – Regressão linear do humor ao longo da semana (coeficiente por dia, R² e 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Coef./dia (b)</w:t>
            </w:r>
          </w:p>
        </w:tc>
        <w:tc>
          <w:tcPr>
            <w:tcW w:type="dxa" w:w="2351"/>
          </w:tcPr>
          <w:p>
            <w:r>
              <w:rPr>
                <w:rFonts w:ascii="Times New Roman" w:hAnsi="Times New Roman"/>
                <w:b/>
                <w:i w:val="0"/>
                <w:sz w:val="17"/>
              </w:rPr>
              <w:t>R²</w:t>
            </w:r>
          </w:p>
        </w:tc>
        <w:tc>
          <w:tcPr>
            <w:tcW w:type="dxa" w:w="2351"/>
          </w:tcPr>
          <w:p>
            <w:r>
              <w:rPr>
                <w:rFonts w:ascii="Times New Roman" w:hAnsi="Times New Roman"/>
                <w:b/>
                <w:i w:val="0"/>
                <w:sz w:val="17"/>
              </w:rPr>
              <w:t>p</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-0,270</w:t>
            </w:r>
          </w:p>
        </w:tc>
        <w:tc>
          <w:tcPr>
            <w:tcW w:type="dxa" w:w="2351"/>
          </w:tcPr>
          <w:p>
            <w:r>
              <w:rPr>
                <w:rFonts w:ascii="Times New Roman" w:hAnsi="Times New Roman"/>
                <w:b w:val="0"/>
                <w:i w:val="0"/>
                <w:sz w:val="17"/>
              </w:rPr>
              <w:t>0,026</w:t>
            </w:r>
          </w:p>
        </w:tc>
        <w:tc>
          <w:tcPr>
            <w:tcW w:type="dxa" w:w="2351"/>
          </w:tcPr>
          <w:p>
            <w:r>
              <w:rPr>
                <w:rFonts w:ascii="Times New Roman" w:hAnsi="Times New Roman"/>
                <w:b w:val="0"/>
                <w:i w:val="0"/>
                <w:sz w:val="17"/>
              </w:rPr>
              <w:t>0,0052</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+0,409</w:t>
            </w:r>
          </w:p>
        </w:tc>
        <w:tc>
          <w:tcPr>
            <w:tcW w:type="dxa" w:w="2351"/>
          </w:tcPr>
          <w:p>
            <w:r>
              <w:rPr>
                <w:rFonts w:ascii="Times New Roman" w:hAnsi="Times New Roman"/>
                <w:b w:val="0"/>
                <w:i w:val="0"/>
                <w:sz w:val="17"/>
              </w:rPr>
              <w:t>0,040</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+0,388</w:t>
            </w:r>
          </w:p>
        </w:tc>
        <w:tc>
          <w:tcPr>
            <w:tcW w:type="dxa" w:w="2351"/>
          </w:tcPr>
          <w:p>
            <w:r>
              <w:rPr>
                <w:rFonts w:ascii="Times New Roman" w:hAnsi="Times New Roman"/>
                <w:b w:val="0"/>
                <w:i w:val="0"/>
                <w:sz w:val="17"/>
              </w:rPr>
              <w:t>0,097</w:t>
            </w:r>
          </w:p>
        </w:tc>
        <w:tc>
          <w:tcPr>
            <w:tcW w:type="dxa" w:w="2351"/>
          </w:tcPr>
          <w:p>
            <w:r>
              <w:rPr>
                <w:rFonts w:ascii="Times New Roman" w:hAnsi="Times New Roman"/>
                <w:b w:val="0"/>
                <w:i w:val="0"/>
                <w:sz w:val="17"/>
              </w:rPr>
              <w:t>&lt;0,001</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+0,043</w:t>
            </w:r>
          </w:p>
        </w:tc>
        <w:tc>
          <w:tcPr>
            <w:tcW w:type="dxa" w:w="2351"/>
          </w:tcPr>
          <w:p>
            <w:r>
              <w:rPr>
                <w:rFonts w:ascii="Times New Roman" w:hAnsi="Times New Roman"/>
                <w:b w:val="0"/>
                <w:i w:val="0"/>
                <w:sz w:val="17"/>
              </w:rPr>
              <w:t>0,001</w:t>
            </w:r>
          </w:p>
        </w:tc>
        <w:tc>
          <w:tcPr>
            <w:tcW w:type="dxa" w:w="2351"/>
          </w:tcPr>
          <w:p>
            <w:r>
              <w:rPr>
                <w:rFonts w:ascii="Times New Roman" w:hAnsi="Times New Roman"/>
                <w:b w:val="0"/>
                <w:i w:val="0"/>
                <w:sz w:val="17"/>
              </w:rPr>
              <w:t>0,6038</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+0,574</w:t>
            </w:r>
          </w:p>
        </w:tc>
        <w:tc>
          <w:tcPr>
            <w:tcW w:type="dxa" w:w="2351"/>
          </w:tcPr>
          <w:p>
            <w:r>
              <w:rPr>
                <w:rFonts w:ascii="Times New Roman" w:hAnsi="Times New Roman"/>
                <w:b w:val="0"/>
                <w:i w:val="0"/>
                <w:sz w:val="17"/>
              </w:rPr>
              <w:t>0,013</w:t>
            </w:r>
          </w:p>
        </w:tc>
        <w:tc>
          <w:tcPr>
            <w:tcW w:type="dxa" w:w="2351"/>
          </w:tcPr>
          <w:p>
            <w:r>
              <w:rPr>
                <w:rFonts w:ascii="Times New Roman" w:hAnsi="Times New Roman"/>
                <w:b w:val="0"/>
                <w:i w:val="0"/>
                <w:sz w:val="17"/>
              </w:rPr>
              <w:t>0,0511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regressão linear (Tabela 3; Gráfico 3) confirma a direção e a significância das tendências: a fadiga física apresenta a inclinação mais acentuada e o melhor ajuste (b = +0,39/dia; R² = 0,10; p &lt; 0,001), seguida da fadiga do BRUMS (b = +0,41/dia; p &lt; 0,001), do vigor (b = −0,27/dia; p = 0,005) e da PTH; a fadiga mental não exibe tendência (p = 0,60). As trajetórias (Gráfico 4) mostram o vigor declinando e as fadigas e a PTH ascendendo rumo ao Dia 7, com as bandas de desvio-padrão amplas confirmando a heterogeneidade. O Gráfico 5 sintetiza, em escores padronizados, a deterioração conjunta do eixo. Os R² baixos decorrem de a regressão ser computada no nível da observação, em que a variância é dominada por diferenças entre atletas e ruído — o que recomenda interpretar a tendência do grupo, e não a leitura isolada de um atleta.</w:t>
      </w:r>
    </w:p>
    <w:p>
      <w:pPr>
        <w:spacing w:before="120" w:line="240" w:lineRule="auto"/>
        <w:jc w:val="center"/>
      </w:pPr>
      <w:r>
        <w:rPr>
          <w:rFonts w:ascii="Times New Roman" w:hAnsi="Times New Roman"/>
          <w:b w:val="0"/>
          <w:i w:val="0"/>
          <w:sz w:val="20"/>
        </w:rPr>
        <w:t>Gráfico 3 – Regressão linear de cada variável ao longo da semana (pontos = observações; reta = ajuste)</w:t>
      </w:r>
    </w:p>
    <w:p>
      <w:pPr>
        <w:jc w:val="center"/>
      </w:pPr>
      <w:r>
        <w:drawing>
          <wp:inline xmlns:a="http://schemas.openxmlformats.org/drawingml/2006/main" xmlns:pic="http://schemas.openxmlformats.org/drawingml/2006/picture">
            <wp:extent cx="5120640" cy="3012141"/>
            <wp:docPr id="5" name="Picture 5"/>
            <wp:cNvGraphicFramePr>
              <a:graphicFrameLocks noChangeAspect="1"/>
            </wp:cNvGraphicFramePr>
            <a:graphic>
              <a:graphicData uri="http://schemas.openxmlformats.org/drawingml/2006/picture">
                <pic:pic>
                  <pic:nvPicPr>
                    <pic:cNvPr id="0" name="v_reg.png"/>
                    <pic:cNvPicPr/>
                  </pic:nvPicPr>
                  <pic:blipFill>
                    <a:blip r:embed="rId13"/>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4 – Comportamento semanal das cinco variáveis (M ± DP; suavização LOWESS pontilhada)</w:t>
      </w:r>
    </w:p>
    <w:p>
      <w:pPr>
        <w:jc w:val="center"/>
      </w:pPr>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v_traj.png"/>
                    <pic:cNvPicPr/>
                  </pic:nvPicPr>
                  <pic:blipFill>
                    <a:blip r:embed="rId14"/>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Gráfico 5 – Deterioração do eixo energia–fadiga em escores padronizados (z): vigor declina, fadigas e PTH ascendem</w:t>
      </w:r>
    </w:p>
    <w:p>
      <w:pPr>
        <w:jc w:val="center"/>
      </w:pPr>
      <w:r>
        <w:drawing>
          <wp:inline xmlns:a="http://schemas.openxmlformats.org/drawingml/2006/main" xmlns:pic="http://schemas.openxmlformats.org/drawingml/2006/picture">
            <wp:extent cx="4572000" cy="2689412"/>
            <wp:docPr id="7" name="Picture 7"/>
            <wp:cNvGraphicFramePr>
              <a:graphicFrameLocks noChangeAspect="1"/>
            </wp:cNvGraphicFramePr>
            <a:graphic>
              <a:graphicData uri="http://schemas.openxmlformats.org/drawingml/2006/picture">
                <pic:pic>
                  <pic:nvPicPr>
                    <pic:cNvPr id="0" name="v_deter.png"/>
                    <pic:cNvPicPr/>
                  </pic:nvPicPr>
                  <pic:blipFill>
                    <a:blip r:embed="rId15"/>
                    <a:stretch>
                      <a:fillRect/>
                    </a:stretch>
                  </pic:blipFill>
                  <pic:spPr>
                    <a:xfrm>
                      <a:off x="0" y="0"/>
                      <a:ext cx="4572000" cy="268941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4.4 Comportamento da Perturbação Total do Humor (PTH/TMD)</w:t>
      </w:r>
    </w:p>
    <w:p>
      <w:pPr>
        <w:spacing w:line="360" w:lineRule="auto"/>
        <w:ind w:firstLine="709"/>
        <w:jc w:val="both"/>
      </w:pPr>
      <w:r>
        <w:rPr>
          <w:rFonts w:ascii="Times New Roman" w:hAnsi="Times New Roman"/>
          <w:b w:val="0"/>
          <w:i w:val="0"/>
          <w:sz w:val="24"/>
        </w:rPr>
        <w:t>A PTH, índice global do perfil, comporta-se como esperado do eixo energia–humor: eleva-se ao longo da semana (b = +0,41/dia; p &lt; 0,001; Tabela 3) e responde agudamente pré→pós (dz = +0,66), com a maior amplitude bruta entre as variáveis (Gráfico 6). Contudo, por integrar seis subescalas — várias ancoradas no piso —, a PTH tem a pior relação sinal-ruído do eixo (SNR = 0,96) e apenas 3% da variância atribuível ao sinal da semana, o que a torna um indicador global útil para a leitura de conjunto, porém menos sensível e mais ruidoso do que o vigor e a fadiga física isolados. A precipitação da PTH no Dia 7 é o ponto máximo da série, coerente com o achatamento do perfil iceberg.</w:t>
      </w:r>
    </w:p>
    <w:p>
      <w:pPr>
        <w:spacing w:before="120" w:line="240" w:lineRule="auto"/>
        <w:jc w:val="center"/>
      </w:pPr>
      <w:r>
        <w:rPr>
          <w:rFonts w:ascii="Times New Roman" w:hAnsi="Times New Roman"/>
          <w:b w:val="0"/>
          <w:i w:val="0"/>
          <w:sz w:val="20"/>
        </w:rPr>
        <w:t>Gráfico 6 – Comportamento da PTH/TMD na semana: trajetória (M ± DP; LOWESS), resposta pré vs pós por dia e distribuição por dia</w:t>
      </w:r>
    </w:p>
    <w:p>
      <w:pPr>
        <w:jc w:val="center"/>
      </w:pPr>
      <w:r>
        <w:drawing>
          <wp:inline xmlns:a="http://schemas.openxmlformats.org/drawingml/2006/main" xmlns:pic="http://schemas.openxmlformats.org/drawingml/2006/picture">
            <wp:extent cx="5120640" cy="3012141"/>
            <wp:docPr id="8" name="Picture 8"/>
            <wp:cNvGraphicFramePr>
              <a:graphicFrameLocks noChangeAspect="1"/>
            </wp:cNvGraphicFramePr>
            <a:graphic>
              <a:graphicData uri="http://schemas.openxmlformats.org/drawingml/2006/picture">
                <pic:pic>
                  <pic:nvPicPr>
                    <pic:cNvPr id="0" name="v_tmd.png"/>
                    <pic:cNvPicPr/>
                  </pic:nvPicPr>
                  <pic:blipFill>
                    <a:blip r:embed="rId16"/>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4.5 Linha de base (Dia 1, pré) versus último dia (Dia 7, pós) e sensibilidade</w:t>
      </w:r>
    </w:p>
    <w:p>
      <w:pPr>
        <w:spacing w:before="120" w:line="240" w:lineRule="auto"/>
        <w:jc w:val="left"/>
      </w:pPr>
      <w:r>
        <w:rPr>
          <w:rFonts w:ascii="Times New Roman" w:hAnsi="Times New Roman"/>
          <w:b w:val="0"/>
          <w:i w:val="0"/>
          <w:sz w:val="20"/>
        </w:rPr>
        <w:t>Tabela 4 – Humor e fadiga na linha de base (Dia 1, pré) e no último dia (Dia 7, pós); comparação pareada (Wilcoxon)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Pré D1</w:t>
            </w:r>
          </w:p>
        </w:tc>
        <w:tc>
          <w:tcPr>
            <w:tcW w:type="dxa" w:w="1344"/>
          </w:tcPr>
          <w:p>
            <w:r>
              <w:rPr>
                <w:rFonts w:ascii="Times New Roman" w:hAnsi="Times New Roman"/>
                <w:b/>
                <w:i w:val="0"/>
                <w:sz w:val="17"/>
              </w:rPr>
              <w:t>Pós D7</w:t>
            </w:r>
          </w:p>
        </w:tc>
        <w:tc>
          <w:tcPr>
            <w:tcW w:type="dxa" w:w="1344"/>
          </w:tcPr>
          <w:p>
            <w:r>
              <w:rPr>
                <w:rFonts w:ascii="Times New Roman" w:hAnsi="Times New Roman"/>
                <w:b/>
                <w:i w:val="0"/>
                <w:sz w:val="17"/>
              </w:rPr>
              <w:t>Δ</w:t>
            </w:r>
          </w:p>
        </w:tc>
        <w:tc>
          <w:tcPr>
            <w:tcW w:type="dxa" w:w="1344"/>
          </w:tcPr>
          <w:p>
            <w:r>
              <w:rPr>
                <w:rFonts w:ascii="Times New Roman" w:hAnsi="Times New Roman"/>
                <w:b/>
                <w:i w:val="0"/>
                <w:sz w:val="17"/>
              </w:rPr>
              <w:t>% mud.</w:t>
            </w:r>
          </w:p>
        </w:tc>
        <w:tc>
          <w:tcPr>
            <w:tcW w:type="dxa" w:w="1344"/>
          </w:tcPr>
          <w:p>
            <w:r>
              <w:rPr>
                <w:rFonts w:ascii="Times New Roman" w:hAnsi="Times New Roman"/>
                <w:b/>
                <w:i w:val="0"/>
                <w:sz w:val="17"/>
              </w:rPr>
              <w:t>dz</w:t>
            </w:r>
          </w:p>
        </w:tc>
        <w:tc>
          <w:tcPr>
            <w:tcW w:type="dxa" w:w="1344"/>
          </w:tcPr>
          <w:p>
            <w:r>
              <w:rPr>
                <w:rFonts w:ascii="Times New Roman" w:hAnsi="Times New Roman"/>
                <w:b/>
                <w:i w:val="0"/>
                <w:sz w:val="17"/>
              </w:rPr>
              <w:t>p</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8,25 ± 3,32</w:t>
            </w:r>
          </w:p>
        </w:tc>
        <w:tc>
          <w:tcPr>
            <w:tcW w:type="dxa" w:w="1344"/>
          </w:tcPr>
          <w:p>
            <w:r>
              <w:rPr>
                <w:rFonts w:ascii="Times New Roman" w:hAnsi="Times New Roman"/>
                <w:b w:val="0"/>
                <w:i w:val="0"/>
                <w:sz w:val="17"/>
              </w:rPr>
              <w:t>4,38 ± 2,83</w:t>
            </w:r>
          </w:p>
        </w:tc>
        <w:tc>
          <w:tcPr>
            <w:tcW w:type="dxa" w:w="1344"/>
          </w:tcPr>
          <w:p>
            <w:r>
              <w:rPr>
                <w:rFonts w:ascii="Times New Roman" w:hAnsi="Times New Roman"/>
                <w:b w:val="0"/>
                <w:i w:val="0"/>
                <w:sz w:val="17"/>
              </w:rPr>
              <w:t>-3,88</w:t>
            </w:r>
          </w:p>
        </w:tc>
        <w:tc>
          <w:tcPr>
            <w:tcW w:type="dxa" w:w="1344"/>
          </w:tcPr>
          <w:p>
            <w:r>
              <w:rPr>
                <w:rFonts w:ascii="Times New Roman" w:hAnsi="Times New Roman"/>
                <w:b w:val="0"/>
                <w:i w:val="0"/>
                <w:sz w:val="17"/>
              </w:rPr>
              <w:t>-47%</w:t>
            </w:r>
          </w:p>
        </w:tc>
        <w:tc>
          <w:tcPr>
            <w:tcW w:type="dxa" w:w="1344"/>
          </w:tcPr>
          <w:p>
            <w:r>
              <w:rPr>
                <w:rFonts w:ascii="Times New Roman" w:hAnsi="Times New Roman"/>
                <w:b w:val="0"/>
                <w:i w:val="0"/>
                <w:sz w:val="17"/>
              </w:rPr>
              <w:t>-1,02</w:t>
            </w:r>
          </w:p>
        </w:tc>
        <w:tc>
          <w:tcPr>
            <w:tcW w:type="dxa" w:w="1344"/>
          </w:tcPr>
          <w:p>
            <w:r>
              <w:rPr>
                <w:rFonts w:ascii="Times New Roman" w:hAnsi="Times New Roman"/>
                <w:b w:val="0"/>
                <w:i w:val="0"/>
                <w:sz w:val="17"/>
              </w:rPr>
              <w:t>0,004</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3,62 ± 3,26</w:t>
            </w:r>
          </w:p>
        </w:tc>
        <w:tc>
          <w:tcPr>
            <w:tcW w:type="dxa" w:w="1344"/>
          </w:tcPr>
          <w:p>
            <w:r>
              <w:rPr>
                <w:rFonts w:ascii="Times New Roman" w:hAnsi="Times New Roman"/>
                <w:b w:val="0"/>
                <w:i w:val="0"/>
                <w:sz w:val="17"/>
              </w:rPr>
              <w:t>7,81 ± 4,40</w:t>
            </w:r>
          </w:p>
        </w:tc>
        <w:tc>
          <w:tcPr>
            <w:tcW w:type="dxa" w:w="1344"/>
          </w:tcPr>
          <w:p>
            <w:r>
              <w:rPr>
                <w:rFonts w:ascii="Times New Roman" w:hAnsi="Times New Roman"/>
                <w:b w:val="0"/>
                <w:i w:val="0"/>
                <w:sz w:val="17"/>
              </w:rPr>
              <w:t>+4,19</w:t>
            </w:r>
          </w:p>
        </w:tc>
        <w:tc>
          <w:tcPr>
            <w:tcW w:type="dxa" w:w="1344"/>
          </w:tcPr>
          <w:p>
            <w:r>
              <w:rPr>
                <w:rFonts w:ascii="Times New Roman" w:hAnsi="Times New Roman"/>
                <w:b w:val="0"/>
                <w:i w:val="0"/>
                <w:sz w:val="17"/>
              </w:rPr>
              <w:t>+116%</w:t>
            </w:r>
          </w:p>
        </w:tc>
        <w:tc>
          <w:tcPr>
            <w:tcW w:type="dxa" w:w="1344"/>
          </w:tcPr>
          <w:p>
            <w:r>
              <w:rPr>
                <w:rFonts w:ascii="Times New Roman" w:hAnsi="Times New Roman"/>
                <w:b w:val="0"/>
                <w:i w:val="0"/>
                <w:sz w:val="17"/>
              </w:rPr>
              <w:t>+0,78</w:t>
            </w:r>
          </w:p>
        </w:tc>
        <w:tc>
          <w:tcPr>
            <w:tcW w:type="dxa" w:w="1344"/>
          </w:tcPr>
          <w:p>
            <w:r>
              <w:rPr>
                <w:rFonts w:ascii="Times New Roman" w:hAnsi="Times New Roman"/>
                <w:b w:val="0"/>
                <w:i w:val="0"/>
                <w:sz w:val="17"/>
              </w:rPr>
              <w:t>0,017</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3,69 ± 2,41</w:t>
            </w:r>
          </w:p>
        </w:tc>
        <w:tc>
          <w:tcPr>
            <w:tcW w:type="dxa" w:w="1344"/>
          </w:tcPr>
          <w:p>
            <w:r>
              <w:rPr>
                <w:rFonts w:ascii="Times New Roman" w:hAnsi="Times New Roman"/>
                <w:b w:val="0"/>
                <w:i w:val="0"/>
                <w:sz w:val="17"/>
              </w:rPr>
              <w:t>8,44 ± 1,50</w:t>
            </w:r>
          </w:p>
        </w:tc>
        <w:tc>
          <w:tcPr>
            <w:tcW w:type="dxa" w:w="1344"/>
          </w:tcPr>
          <w:p>
            <w:r>
              <w:rPr>
                <w:rFonts w:ascii="Times New Roman" w:hAnsi="Times New Roman"/>
                <w:b w:val="0"/>
                <w:i w:val="0"/>
                <w:sz w:val="17"/>
              </w:rPr>
              <w:t>+4,75</w:t>
            </w:r>
          </w:p>
        </w:tc>
        <w:tc>
          <w:tcPr>
            <w:tcW w:type="dxa" w:w="1344"/>
          </w:tcPr>
          <w:p>
            <w:r>
              <w:rPr>
                <w:rFonts w:ascii="Times New Roman" w:hAnsi="Times New Roman"/>
                <w:b w:val="0"/>
                <w:i w:val="0"/>
                <w:sz w:val="17"/>
              </w:rPr>
              <w:t>+129%</w:t>
            </w:r>
          </w:p>
        </w:tc>
        <w:tc>
          <w:tcPr>
            <w:tcW w:type="dxa" w:w="1344"/>
          </w:tcPr>
          <w:p>
            <w:r>
              <w:rPr>
                <w:rFonts w:ascii="Times New Roman" w:hAnsi="Times New Roman"/>
                <w:b w:val="0"/>
                <w:i w:val="0"/>
                <w:sz w:val="17"/>
              </w:rPr>
              <w:t>+2,12</w:t>
            </w:r>
          </w:p>
        </w:tc>
        <w:tc>
          <w:tcPr>
            <w:tcW w:type="dxa" w:w="1344"/>
          </w:tcPr>
          <w:p>
            <w:r>
              <w:rPr>
                <w:rFonts w:ascii="Times New Roman" w:hAnsi="Times New Roman"/>
                <w:b w:val="0"/>
                <w:i w:val="0"/>
                <w:sz w:val="17"/>
              </w:rPr>
              <w:t>&lt;0,001</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4,00 ± 2,16</w:t>
            </w:r>
          </w:p>
        </w:tc>
        <w:tc>
          <w:tcPr>
            <w:tcW w:type="dxa" w:w="1344"/>
          </w:tcPr>
          <w:p>
            <w:r>
              <w:rPr>
                <w:rFonts w:ascii="Times New Roman" w:hAnsi="Times New Roman"/>
                <w:b w:val="0"/>
                <w:i w:val="0"/>
                <w:sz w:val="17"/>
              </w:rPr>
              <w:t>5,56 ± 3,14</w:t>
            </w:r>
          </w:p>
        </w:tc>
        <w:tc>
          <w:tcPr>
            <w:tcW w:type="dxa" w:w="1344"/>
          </w:tcPr>
          <w:p>
            <w:r>
              <w:rPr>
                <w:rFonts w:ascii="Times New Roman" w:hAnsi="Times New Roman"/>
                <w:b w:val="0"/>
                <w:i w:val="0"/>
                <w:sz w:val="17"/>
              </w:rPr>
              <w:t>+1,56</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+0,82</w:t>
            </w:r>
          </w:p>
        </w:tc>
        <w:tc>
          <w:tcPr>
            <w:tcW w:type="dxa" w:w="1344"/>
          </w:tcPr>
          <w:p>
            <w:r>
              <w:rPr>
                <w:rFonts w:ascii="Times New Roman" w:hAnsi="Times New Roman"/>
                <w:b w:val="0"/>
                <w:i w:val="0"/>
                <w:sz w:val="17"/>
              </w:rPr>
              <w:t>0,011</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1,62 ± 8,62</w:t>
            </w:r>
          </w:p>
        </w:tc>
        <w:tc>
          <w:tcPr>
            <w:tcW w:type="dxa" w:w="1344"/>
          </w:tcPr>
          <w:p>
            <w:r>
              <w:rPr>
                <w:rFonts w:ascii="Times New Roman" w:hAnsi="Times New Roman"/>
                <w:b w:val="0"/>
                <w:i w:val="0"/>
                <w:sz w:val="17"/>
              </w:rPr>
              <w:t>9,75 ± 14,00</w:t>
            </w:r>
          </w:p>
        </w:tc>
        <w:tc>
          <w:tcPr>
            <w:tcW w:type="dxa" w:w="1344"/>
          </w:tcPr>
          <w:p>
            <w:r>
              <w:rPr>
                <w:rFonts w:ascii="Times New Roman" w:hAnsi="Times New Roman"/>
                <w:b w:val="0"/>
                <w:i w:val="0"/>
                <w:sz w:val="17"/>
              </w:rPr>
              <w:t>+8,12</w:t>
            </w:r>
          </w:p>
        </w:tc>
        <w:tc>
          <w:tcPr>
            <w:tcW w:type="dxa" w:w="1344"/>
          </w:tcPr>
          <w:p>
            <w:r>
              <w:rPr>
                <w:rFonts w:ascii="Times New Roman" w:hAnsi="Times New Roman"/>
                <w:b w:val="0"/>
                <w:i w:val="0"/>
                <w:sz w:val="17"/>
              </w:rPr>
              <w:t>+500%</w:t>
            </w:r>
          </w:p>
        </w:tc>
        <w:tc>
          <w:tcPr>
            <w:tcW w:type="dxa" w:w="1344"/>
          </w:tcPr>
          <w:p>
            <w:r>
              <w:rPr>
                <w:rFonts w:ascii="Times New Roman" w:hAnsi="Times New Roman"/>
                <w:b w:val="0"/>
                <w:i w:val="0"/>
                <w:sz w:val="17"/>
              </w:rPr>
              <w:t>+0,54</w:t>
            </w:r>
          </w:p>
        </w:tc>
        <w:tc>
          <w:tcPr>
            <w:tcW w:type="dxa" w:w="1344"/>
          </w:tcPr>
          <w:p>
            <w:r>
              <w:rPr>
                <w:rFonts w:ascii="Times New Roman" w:hAnsi="Times New Roman"/>
                <w:b w:val="0"/>
                <w:i w:val="0"/>
                <w:sz w:val="17"/>
              </w:rPr>
              <w:t>0,049</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5 – Sensibilidade/responsividade das variáveis (efeito agudo, crônico, SNR e % de sinal)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|dz| agudo</w:t>
            </w:r>
          </w:p>
        </w:tc>
        <w:tc>
          <w:tcPr>
            <w:tcW w:type="dxa" w:w="1881"/>
          </w:tcPr>
          <w:p>
            <w:r>
              <w:rPr>
                <w:rFonts w:ascii="Times New Roman" w:hAnsi="Times New Roman"/>
                <w:b/>
                <w:i w:val="0"/>
                <w:sz w:val="17"/>
              </w:rPr>
              <w:t>|dz| crônico</w:t>
            </w:r>
          </w:p>
        </w:tc>
        <w:tc>
          <w:tcPr>
            <w:tcW w:type="dxa" w:w="1881"/>
          </w:tcPr>
          <w:p>
            <w:r>
              <w:rPr>
                <w:rFonts w:ascii="Times New Roman" w:hAnsi="Times New Roman"/>
                <w:b/>
                <w:i w:val="0"/>
                <w:sz w:val="17"/>
              </w:rPr>
              <w:t>SNR</w:t>
            </w:r>
          </w:p>
        </w:tc>
        <w:tc>
          <w:tcPr>
            <w:tcW w:type="dxa" w:w="1881"/>
          </w:tcPr>
          <w:p>
            <w:r>
              <w:rPr>
                <w:rFonts w:ascii="Times New Roman" w:hAnsi="Times New Roman"/>
                <w:b/>
                <w:i w:val="0"/>
                <w:sz w:val="17"/>
              </w:rPr>
              <w:t>% sinal</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1,08</w:t>
            </w:r>
          </w:p>
        </w:tc>
        <w:tc>
          <w:tcPr>
            <w:tcW w:type="dxa" w:w="1881"/>
          </w:tcPr>
          <w:p>
            <w:r>
              <w:rPr>
                <w:rFonts w:ascii="Times New Roman" w:hAnsi="Times New Roman"/>
                <w:b w:val="0"/>
                <w:i w:val="0"/>
                <w:sz w:val="17"/>
              </w:rPr>
              <w:t>1,69</w:t>
            </w:r>
          </w:p>
        </w:tc>
        <w:tc>
          <w:tcPr>
            <w:tcW w:type="dxa" w:w="1881"/>
          </w:tcPr>
          <w:p>
            <w:r>
              <w:rPr>
                <w:rFonts w:ascii="Times New Roman" w:hAnsi="Times New Roman"/>
                <w:b w:val="0"/>
                <w:i w:val="0"/>
                <w:sz w:val="17"/>
              </w:rPr>
              <w:t>1,82</w:t>
            </w:r>
          </w:p>
        </w:tc>
        <w:tc>
          <w:tcPr>
            <w:tcW w:type="dxa" w:w="1881"/>
          </w:tcPr>
          <w:p>
            <w:r>
              <w:rPr>
                <w:rFonts w:ascii="Times New Roman" w:hAnsi="Times New Roman"/>
                <w:b w:val="0"/>
                <w:i w:val="0"/>
                <w:sz w:val="17"/>
              </w:rPr>
              <w:t>13%</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0,74</w:t>
            </w:r>
          </w:p>
        </w:tc>
        <w:tc>
          <w:tcPr>
            <w:tcW w:type="dxa" w:w="1881"/>
          </w:tcPr>
          <w:p>
            <w:r>
              <w:rPr>
                <w:rFonts w:ascii="Times New Roman" w:hAnsi="Times New Roman"/>
                <w:b w:val="0"/>
                <w:i w:val="0"/>
                <w:sz w:val="17"/>
              </w:rPr>
              <w:t>1,09</w:t>
            </w:r>
          </w:p>
        </w:tc>
        <w:tc>
          <w:tcPr>
            <w:tcW w:type="dxa" w:w="1881"/>
          </w:tcPr>
          <w:p>
            <w:r>
              <w:rPr>
                <w:rFonts w:ascii="Times New Roman" w:hAnsi="Times New Roman"/>
                <w:b w:val="0"/>
                <w:i w:val="0"/>
                <w:sz w:val="17"/>
              </w:rPr>
              <w:t>1,52</w:t>
            </w:r>
          </w:p>
        </w:tc>
        <w:tc>
          <w:tcPr>
            <w:tcW w:type="dxa" w:w="1881"/>
          </w:tcPr>
          <w:p>
            <w:r>
              <w:rPr>
                <w:rFonts w:ascii="Times New Roman" w:hAnsi="Times New Roman"/>
                <w:b w:val="0"/>
                <w:i w:val="0"/>
                <w:sz w:val="17"/>
              </w:rPr>
              <w:t>7%</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0,60</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1,29</w:t>
            </w:r>
          </w:p>
        </w:tc>
        <w:tc>
          <w:tcPr>
            <w:tcW w:type="dxa" w:w="1881"/>
          </w:tcPr>
          <w:p>
            <w:r>
              <w:rPr>
                <w:rFonts w:ascii="Times New Roman" w:hAnsi="Times New Roman"/>
                <w:b w:val="0"/>
                <w:i w:val="0"/>
                <w:sz w:val="17"/>
              </w:rPr>
              <w:t>4%</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0,66</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0,96</w:t>
            </w:r>
          </w:p>
        </w:tc>
        <w:tc>
          <w:tcPr>
            <w:tcW w:type="dxa" w:w="1881"/>
          </w:tcPr>
          <w:p>
            <w:r>
              <w:rPr>
                <w:rFonts w:ascii="Times New Roman" w:hAnsi="Times New Roman"/>
                <w:b w:val="0"/>
                <w:i w:val="0"/>
                <w:sz w:val="17"/>
              </w:rPr>
              <w:t>3%</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0,53</w:t>
            </w:r>
          </w:p>
        </w:tc>
        <w:tc>
          <w:tcPr>
            <w:tcW w:type="dxa" w:w="1881"/>
          </w:tcPr>
          <w:p>
            <w:r>
              <w:rPr>
                <w:rFonts w:ascii="Times New Roman" w:hAnsi="Times New Roman"/>
                <w:b w:val="0"/>
                <w:i w:val="0"/>
                <w:sz w:val="17"/>
              </w:rPr>
              <w:t>0,33</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1%</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comparação geral do grupo entre a linha de base e o último dia confirma e amplia o quadro: o vigor caiu 47% (8,25 → 4,38; dz = −1,02) e a fadiga física quase triplicou em magnitude de efeito (3,69 → 8,44; +129%; dz = +2,12), com a fadiga do BRUMS (+116%), a fadiga mental (+39%) e a PTH também aumentando. A hierarquia de sensibilidade (Tabela 5) é clara — fadiga física &gt; vigor &gt; fadiga do BRUMS &gt; PTH ≈ fadiga mental —, com a fadiga física reunindo o maior efeito e a melhor SNR. O efeito crônico supera o agudo pré→pós (fadiga física dz crônico = +2,12 versus agudo = +1,08), indicando acúmulo progressivo, e não apenas resposta pontual ao esforço diário.</w:t>
      </w:r>
    </w:p>
    <w:p>
      <w:pPr>
        <w:spacing w:before="120" w:after="40"/>
        <w:jc w:val="left"/>
      </w:pPr>
      <w:r>
        <w:rPr>
          <w:rFonts w:ascii="Times New Roman" w:hAnsi="Times New Roman"/>
          <w:b/>
          <w:i w:val="0"/>
          <w:sz w:val="24"/>
        </w:rPr>
        <w:t>4.6 Limites, decomposição da variância, derivadas e ponto de inflexão</w:t>
      </w:r>
    </w:p>
    <w:p>
      <w:pPr>
        <w:spacing w:before="120" w:line="240" w:lineRule="auto"/>
        <w:jc w:val="left"/>
      </w:pPr>
      <w:r>
        <w:rPr>
          <w:rFonts w:ascii="Times New Roman" w:hAnsi="Times New Roman"/>
          <w:b w:val="0"/>
          <w:i w:val="0"/>
          <w:sz w:val="20"/>
        </w:rPr>
        <w:t>Tabela 6 – Limites (amplitude) e decomposição da variância (sinal, traço, ruído) e SNR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344"/>
        <w:gridCol w:w="1344"/>
        <w:gridCol w:w="1344"/>
        <w:gridCol w:w="1344"/>
        <w:gridCol w:w="1344"/>
        <w:gridCol w:w="1344"/>
        <w:gridCol w:w="1344"/>
      </w:tblGrid>
      <w:tr>
        <w:tc>
          <w:tcPr>
            <w:tcW w:type="dxa" w:w="1344"/>
          </w:tcPr>
          <w:p>
            <w:r>
              <w:rPr>
                <w:rFonts w:ascii="Times New Roman" w:hAnsi="Times New Roman"/>
                <w:b/>
                <w:i w:val="0"/>
                <w:sz w:val="17"/>
              </w:rPr>
              <w:t>Variável</w:t>
            </w:r>
          </w:p>
        </w:tc>
        <w:tc>
          <w:tcPr>
            <w:tcW w:type="dxa" w:w="1344"/>
          </w:tcPr>
          <w:p>
            <w:r>
              <w:rPr>
                <w:rFonts w:ascii="Times New Roman" w:hAnsi="Times New Roman"/>
                <w:b/>
                <w:i w:val="0"/>
                <w:sz w:val="17"/>
              </w:rPr>
              <w:t>Mín.–Máx.</w:t>
            </w:r>
          </w:p>
        </w:tc>
        <w:tc>
          <w:tcPr>
            <w:tcW w:type="dxa" w:w="1344"/>
          </w:tcPr>
          <w:p>
            <w:r>
              <w:rPr>
                <w:rFonts w:ascii="Times New Roman" w:hAnsi="Times New Roman"/>
                <w:b/>
                <w:i w:val="0"/>
                <w:sz w:val="17"/>
              </w:rPr>
              <w:t>Ampl.</w:t>
            </w:r>
          </w:p>
        </w:tc>
        <w:tc>
          <w:tcPr>
            <w:tcW w:type="dxa" w:w="1344"/>
          </w:tcPr>
          <w:p>
            <w:r>
              <w:rPr>
                <w:rFonts w:ascii="Times New Roman" w:hAnsi="Times New Roman"/>
                <w:b/>
                <w:i w:val="0"/>
                <w:sz w:val="17"/>
              </w:rPr>
              <w:t>% Sinal</w:t>
            </w:r>
          </w:p>
        </w:tc>
        <w:tc>
          <w:tcPr>
            <w:tcW w:type="dxa" w:w="1344"/>
          </w:tcPr>
          <w:p>
            <w:r>
              <w:rPr>
                <w:rFonts w:ascii="Times New Roman" w:hAnsi="Times New Roman"/>
                <w:b/>
                <w:i w:val="0"/>
                <w:sz w:val="17"/>
              </w:rPr>
              <w:t>% Traço</w:t>
            </w:r>
          </w:p>
        </w:tc>
        <w:tc>
          <w:tcPr>
            <w:tcW w:type="dxa" w:w="1344"/>
          </w:tcPr>
          <w:p>
            <w:r>
              <w:rPr>
                <w:rFonts w:ascii="Times New Roman" w:hAnsi="Times New Roman"/>
                <w:b/>
                <w:i w:val="0"/>
                <w:sz w:val="17"/>
              </w:rPr>
              <w:t>% Ruído</w:t>
            </w:r>
          </w:p>
        </w:tc>
        <w:tc>
          <w:tcPr>
            <w:tcW w:type="dxa" w:w="1344"/>
          </w:tcPr>
          <w:p>
            <w:r>
              <w:rPr>
                <w:rFonts w:ascii="Times New Roman" w:hAnsi="Times New Roman"/>
                <w:b/>
                <w:i w:val="0"/>
                <w:sz w:val="17"/>
              </w:rPr>
              <w:t>SNR</w:t>
            </w:r>
          </w:p>
        </w:tc>
      </w:tr>
      <w:tr>
        <w:tc>
          <w:tcPr>
            <w:tcW w:type="dxa" w:w="1344"/>
          </w:tcPr>
          <w:p>
            <w:r>
              <w:rPr>
                <w:rFonts w:ascii="Times New Roman" w:hAnsi="Times New Roman"/>
                <w:b w:val="0"/>
                <w:i w:val="0"/>
                <w:sz w:val="17"/>
              </w:rPr>
              <w:t>Vigor</w:t>
            </w:r>
          </w:p>
        </w:tc>
        <w:tc>
          <w:tcPr>
            <w:tcW w:type="dxa" w:w="1344"/>
          </w:tcPr>
          <w:p>
            <w:r>
              <w:rPr>
                <w:rFonts w:ascii="Times New Roman" w:hAnsi="Times New Roman"/>
                <w:b w:val="0"/>
                <w:i w:val="0"/>
                <w:sz w:val="17"/>
              </w:rPr>
              <w:t>0–15</w:t>
            </w:r>
          </w:p>
        </w:tc>
        <w:tc>
          <w:tcPr>
            <w:tcW w:type="dxa" w:w="1344"/>
          </w:tcPr>
          <w:p>
            <w:r>
              <w:rPr>
                <w:rFonts w:ascii="Times New Roman" w:hAnsi="Times New Roman"/>
                <w:b w:val="0"/>
                <w:i w:val="0"/>
                <w:sz w:val="17"/>
              </w:rPr>
              <w:t>15</w:t>
            </w:r>
          </w:p>
        </w:tc>
        <w:tc>
          <w:tcPr>
            <w:tcW w:type="dxa" w:w="1344"/>
          </w:tcPr>
          <w:p>
            <w:r>
              <w:rPr>
                <w:rFonts w:ascii="Times New Roman" w:hAnsi="Times New Roman"/>
                <w:b w:val="0"/>
                <w:i w:val="0"/>
                <w:sz w:val="17"/>
              </w:rPr>
              <w:t>7%</w:t>
            </w:r>
          </w:p>
        </w:tc>
        <w:tc>
          <w:tcPr>
            <w:tcW w:type="dxa" w:w="1344"/>
          </w:tcPr>
          <w:p>
            <w:r>
              <w:rPr>
                <w:rFonts w:ascii="Times New Roman" w:hAnsi="Times New Roman"/>
                <w:b w:val="0"/>
                <w:i w:val="0"/>
                <w:sz w:val="17"/>
              </w:rPr>
              <w:t>54%</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1,52</w:t>
            </w:r>
          </w:p>
        </w:tc>
      </w:tr>
      <w:tr>
        <w:tc>
          <w:tcPr>
            <w:tcW w:type="dxa" w:w="1344"/>
          </w:tcPr>
          <w:p>
            <w:r>
              <w:rPr>
                <w:rFonts w:ascii="Times New Roman" w:hAnsi="Times New Roman"/>
                <w:b w:val="0"/>
                <w:i w:val="0"/>
                <w:sz w:val="17"/>
              </w:rPr>
              <w:t>Fadiga (BRUMS)</w:t>
            </w:r>
          </w:p>
        </w:tc>
        <w:tc>
          <w:tcPr>
            <w:tcW w:type="dxa" w:w="1344"/>
          </w:tcPr>
          <w:p>
            <w:r>
              <w:rPr>
                <w:rFonts w:ascii="Times New Roman" w:hAnsi="Times New Roman"/>
                <w:b w:val="0"/>
                <w:i w:val="0"/>
                <w:sz w:val="17"/>
              </w:rPr>
              <w:t>0–16</w:t>
            </w:r>
          </w:p>
        </w:tc>
        <w:tc>
          <w:tcPr>
            <w:tcW w:type="dxa" w:w="1344"/>
          </w:tcPr>
          <w:p>
            <w:r>
              <w:rPr>
                <w:rFonts w:ascii="Times New Roman" w:hAnsi="Times New Roman"/>
                <w:b w:val="0"/>
                <w:i w:val="0"/>
                <w:sz w:val="17"/>
              </w:rPr>
              <w:t>16</w:t>
            </w:r>
          </w:p>
        </w:tc>
        <w:tc>
          <w:tcPr>
            <w:tcW w:type="dxa" w:w="1344"/>
          </w:tcPr>
          <w:p>
            <w:r>
              <w:rPr>
                <w:rFonts w:ascii="Times New Roman" w:hAnsi="Times New Roman"/>
                <w:b w:val="0"/>
                <w:i w:val="0"/>
                <w:sz w:val="17"/>
              </w:rPr>
              <w:t>4%</w:t>
            </w:r>
          </w:p>
        </w:tc>
        <w:tc>
          <w:tcPr>
            <w:tcW w:type="dxa" w:w="1344"/>
          </w:tcPr>
          <w:p>
            <w:r>
              <w:rPr>
                <w:rFonts w:ascii="Times New Roman" w:hAnsi="Times New Roman"/>
                <w:b w:val="0"/>
                <w:i w:val="0"/>
                <w:sz w:val="17"/>
              </w:rPr>
              <w:t>58%</w:t>
            </w:r>
          </w:p>
        </w:tc>
        <w:tc>
          <w:tcPr>
            <w:tcW w:type="dxa" w:w="1344"/>
          </w:tcPr>
          <w:p>
            <w:r>
              <w:rPr>
                <w:rFonts w:ascii="Times New Roman" w:hAnsi="Times New Roman"/>
                <w:b w:val="0"/>
                <w:i w:val="0"/>
                <w:sz w:val="17"/>
              </w:rPr>
              <w:t>38%</w:t>
            </w:r>
          </w:p>
        </w:tc>
        <w:tc>
          <w:tcPr>
            <w:tcW w:type="dxa" w:w="1344"/>
          </w:tcPr>
          <w:p>
            <w:r>
              <w:rPr>
                <w:rFonts w:ascii="Times New Roman" w:hAnsi="Times New Roman"/>
                <w:b w:val="0"/>
                <w:i w:val="0"/>
                <w:sz w:val="17"/>
              </w:rPr>
              <w:t>1,29</w:t>
            </w:r>
          </w:p>
        </w:tc>
      </w:tr>
      <w:tr>
        <w:tc>
          <w:tcPr>
            <w:tcW w:type="dxa" w:w="1344"/>
          </w:tcPr>
          <w:p>
            <w:r>
              <w:rPr>
                <w:rFonts w:ascii="Times New Roman" w:hAnsi="Times New Roman"/>
                <w:b w:val="0"/>
                <w:i w:val="0"/>
                <w:sz w:val="17"/>
              </w:rPr>
              <w:t>Fadiga física</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13%</w:t>
            </w:r>
          </w:p>
        </w:tc>
        <w:tc>
          <w:tcPr>
            <w:tcW w:type="dxa" w:w="1344"/>
          </w:tcPr>
          <w:p>
            <w:r>
              <w:rPr>
                <w:rFonts w:ascii="Times New Roman" w:hAnsi="Times New Roman"/>
                <w:b w:val="0"/>
                <w:i w:val="0"/>
                <w:sz w:val="17"/>
              </w:rPr>
              <w:t>39%</w:t>
            </w:r>
          </w:p>
        </w:tc>
        <w:tc>
          <w:tcPr>
            <w:tcW w:type="dxa" w:w="1344"/>
          </w:tcPr>
          <w:p>
            <w:r>
              <w:rPr>
                <w:rFonts w:ascii="Times New Roman" w:hAnsi="Times New Roman"/>
                <w:b w:val="0"/>
                <w:i w:val="0"/>
                <w:sz w:val="17"/>
              </w:rPr>
              <w:t>48%</w:t>
            </w:r>
          </w:p>
        </w:tc>
        <w:tc>
          <w:tcPr>
            <w:tcW w:type="dxa" w:w="1344"/>
          </w:tcPr>
          <w:p>
            <w:r>
              <w:rPr>
                <w:rFonts w:ascii="Times New Roman" w:hAnsi="Times New Roman"/>
                <w:b w:val="0"/>
                <w:i w:val="0"/>
                <w:sz w:val="17"/>
              </w:rPr>
              <w:t>1,82</w:t>
            </w:r>
          </w:p>
        </w:tc>
      </w:tr>
      <w:tr>
        <w:tc>
          <w:tcPr>
            <w:tcW w:type="dxa" w:w="1344"/>
          </w:tcPr>
          <w:p>
            <w:r>
              <w:rPr>
                <w:rFonts w:ascii="Times New Roman" w:hAnsi="Times New Roman"/>
                <w:b w:val="0"/>
                <w:i w:val="0"/>
                <w:sz w:val="17"/>
              </w:rPr>
              <w:t>Fadiga mental</w:t>
            </w:r>
          </w:p>
        </w:tc>
        <w:tc>
          <w:tcPr>
            <w:tcW w:type="dxa" w:w="1344"/>
          </w:tcPr>
          <w:p>
            <w:r>
              <w:rPr>
                <w:rFonts w:ascii="Times New Roman" w:hAnsi="Times New Roman"/>
                <w:b w:val="0"/>
                <w:i w:val="0"/>
                <w:sz w:val="17"/>
              </w:rPr>
              <w:t>0–10</w:t>
            </w:r>
          </w:p>
        </w:tc>
        <w:tc>
          <w:tcPr>
            <w:tcW w:type="dxa" w:w="1344"/>
          </w:tcPr>
          <w:p>
            <w:r>
              <w:rPr>
                <w:rFonts w:ascii="Times New Roman" w:hAnsi="Times New Roman"/>
                <w:b w:val="0"/>
                <w:i w:val="0"/>
                <w:sz w:val="17"/>
              </w:rPr>
              <w:t>10</w:t>
            </w:r>
          </w:p>
        </w:tc>
        <w:tc>
          <w:tcPr>
            <w:tcW w:type="dxa" w:w="1344"/>
          </w:tcPr>
          <w:p>
            <w:r>
              <w:rPr>
                <w:rFonts w:ascii="Times New Roman" w:hAnsi="Times New Roman"/>
                <w:b w:val="0"/>
                <w:i w:val="0"/>
                <w:sz w:val="17"/>
              </w:rPr>
              <w:t>1%</w:t>
            </w:r>
          </w:p>
        </w:tc>
        <w:tc>
          <w:tcPr>
            <w:tcW w:type="dxa" w:w="1344"/>
          </w:tcPr>
          <w:p>
            <w:r>
              <w:rPr>
                <w:rFonts w:ascii="Times New Roman" w:hAnsi="Times New Roman"/>
                <w:b w:val="0"/>
                <w:i w:val="0"/>
                <w:sz w:val="17"/>
              </w:rPr>
              <w:t>71%</w:t>
            </w:r>
          </w:p>
        </w:tc>
        <w:tc>
          <w:tcPr>
            <w:tcW w:type="dxa" w:w="1344"/>
          </w:tcPr>
          <w:p>
            <w:r>
              <w:rPr>
                <w:rFonts w:ascii="Times New Roman" w:hAnsi="Times New Roman"/>
                <w:b w:val="0"/>
                <w:i w:val="0"/>
                <w:sz w:val="17"/>
              </w:rPr>
              <w:t>28%</w:t>
            </w:r>
          </w:p>
        </w:tc>
        <w:tc>
          <w:tcPr>
            <w:tcW w:type="dxa" w:w="1344"/>
          </w:tcPr>
          <w:p>
            <w:r>
              <w:rPr>
                <w:rFonts w:ascii="Times New Roman" w:hAnsi="Times New Roman"/>
                <w:b w:val="0"/>
                <w:i w:val="0"/>
                <w:sz w:val="17"/>
              </w:rPr>
              <w:t>0,48</w:t>
            </w:r>
          </w:p>
        </w:tc>
      </w:tr>
      <w:tr>
        <w:tc>
          <w:tcPr>
            <w:tcW w:type="dxa" w:w="1344"/>
          </w:tcPr>
          <w:p>
            <w:r>
              <w:rPr>
                <w:rFonts w:ascii="Times New Roman" w:hAnsi="Times New Roman"/>
                <w:b w:val="0"/>
                <w:i w:val="0"/>
                <w:sz w:val="17"/>
              </w:rPr>
              <w:t>PTH/TMD</w:t>
            </w:r>
          </w:p>
        </w:tc>
        <w:tc>
          <w:tcPr>
            <w:tcW w:type="dxa" w:w="1344"/>
          </w:tcPr>
          <w:p>
            <w:r>
              <w:rPr>
                <w:rFonts w:ascii="Times New Roman" w:hAnsi="Times New Roman"/>
                <w:b w:val="0"/>
                <w:i w:val="0"/>
                <w:sz w:val="17"/>
              </w:rPr>
              <w:t>-12–52</w:t>
            </w:r>
          </w:p>
        </w:tc>
        <w:tc>
          <w:tcPr>
            <w:tcW w:type="dxa" w:w="1344"/>
          </w:tcPr>
          <w:p>
            <w:r>
              <w:rPr>
                <w:rFonts w:ascii="Times New Roman" w:hAnsi="Times New Roman"/>
                <w:b w:val="0"/>
                <w:i w:val="0"/>
                <w:sz w:val="17"/>
              </w:rPr>
              <w:t>64</w:t>
            </w:r>
          </w:p>
        </w:tc>
        <w:tc>
          <w:tcPr>
            <w:tcW w:type="dxa" w:w="1344"/>
          </w:tcPr>
          <w:p>
            <w:r>
              <w:rPr>
                <w:rFonts w:ascii="Times New Roman" w:hAnsi="Times New Roman"/>
                <w:b w:val="0"/>
                <w:i w:val="0"/>
                <w:sz w:val="17"/>
              </w:rPr>
              <w:t>3%</w:t>
            </w:r>
          </w:p>
        </w:tc>
        <w:tc>
          <w:tcPr>
            <w:tcW w:type="dxa" w:w="1344"/>
          </w:tcPr>
          <w:p>
            <w:r>
              <w:rPr>
                <w:rFonts w:ascii="Times New Roman" w:hAnsi="Times New Roman"/>
                <w:b w:val="0"/>
                <w:i w:val="0"/>
                <w:sz w:val="17"/>
              </w:rPr>
              <w:t>60%</w:t>
            </w:r>
          </w:p>
        </w:tc>
        <w:tc>
          <w:tcPr>
            <w:tcW w:type="dxa" w:w="1344"/>
          </w:tcPr>
          <w:p>
            <w:r>
              <w:rPr>
                <w:rFonts w:ascii="Times New Roman" w:hAnsi="Times New Roman"/>
                <w:b w:val="0"/>
                <w:i w:val="0"/>
                <w:sz w:val="17"/>
              </w:rPr>
              <w:t>37%</w:t>
            </w:r>
          </w:p>
        </w:tc>
        <w:tc>
          <w:tcPr>
            <w:tcW w:type="dxa" w:w="1344"/>
          </w:tcPr>
          <w:p>
            <w:r>
              <w:rPr>
                <w:rFonts w:ascii="Times New Roman" w:hAnsi="Times New Roman"/>
                <w:b w:val="0"/>
                <w:i w:val="0"/>
                <w:sz w:val="17"/>
              </w:rPr>
              <w:t>0,96</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7 – Derivadas (velocidade no D1 e no D7) e ponto de inflexão por variável</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Vel. D1</w:t>
            </w:r>
          </w:p>
        </w:tc>
        <w:tc>
          <w:tcPr>
            <w:tcW w:type="dxa" w:w="1881"/>
          </w:tcPr>
          <w:p>
            <w:r>
              <w:rPr>
                <w:rFonts w:ascii="Times New Roman" w:hAnsi="Times New Roman"/>
                <w:b/>
                <w:i w:val="0"/>
                <w:sz w:val="17"/>
              </w:rPr>
              <w:t>Vel. D7</w:t>
            </w:r>
          </w:p>
        </w:tc>
        <w:tc>
          <w:tcPr>
            <w:tcW w:type="dxa" w:w="1881"/>
          </w:tcPr>
          <w:p>
            <w:r>
              <w:rPr>
                <w:rFonts w:ascii="Times New Roman" w:hAnsi="Times New Roman"/>
                <w:b/>
                <w:i w:val="0"/>
                <w:sz w:val="17"/>
              </w:rPr>
              <w:t>Inflexão</w:t>
            </w:r>
          </w:p>
        </w:tc>
        <w:tc>
          <w:tcPr>
            <w:tcW w:type="dxa" w:w="1881"/>
          </w:tcPr>
          <w:p>
            <w:r>
              <w:rPr>
                <w:rFonts w:ascii="Times New Roman" w:hAnsi="Times New Roman"/>
                <w:b/>
                <w:i w:val="0"/>
                <w:sz w:val="17"/>
              </w:rPr>
              <w:t>Viradas (vel = 0)</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-2,52</w:t>
            </w:r>
          </w:p>
        </w:tc>
        <w:tc>
          <w:tcPr>
            <w:tcW w:type="dxa" w:w="1881"/>
          </w:tcPr>
          <w:p>
            <w:r>
              <w:rPr>
                <w:rFonts w:ascii="Times New Roman" w:hAnsi="Times New Roman"/>
                <w:b w:val="0"/>
                <w:i w:val="0"/>
                <w:sz w:val="17"/>
              </w:rPr>
              <w:t>-2,01</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3,1, 5,2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+1,35</w:t>
            </w:r>
          </w:p>
        </w:tc>
        <w:tc>
          <w:tcPr>
            <w:tcW w:type="dxa" w:w="1881"/>
          </w:tcPr>
          <w:p>
            <w:r>
              <w:rPr>
                <w:rFonts w:ascii="Times New Roman" w:hAnsi="Times New Roman"/>
                <w:b w:val="0"/>
                <w:i w:val="0"/>
                <w:sz w:val="17"/>
              </w:rPr>
              <w:t>+1,91</w:t>
            </w:r>
          </w:p>
        </w:tc>
        <w:tc>
          <w:tcPr>
            <w:tcW w:type="dxa" w:w="1881"/>
          </w:tcPr>
          <w:p>
            <w:r>
              <w:rPr>
                <w:rFonts w:ascii="Times New Roman" w:hAnsi="Times New Roman"/>
                <w:b w:val="0"/>
                <w:i w:val="0"/>
                <w:sz w:val="17"/>
              </w:rPr>
              <w:t>dia 3,7</w:t>
            </w:r>
          </w:p>
        </w:tc>
        <w:tc>
          <w:tcPr>
            <w:tcW w:type="dxa" w:w="1881"/>
          </w:tcPr>
          <w:p>
            <w:r>
              <w:rPr>
                <w:rFonts w:ascii="Times New Roman" w:hAnsi="Times New Roman"/>
                <w:b w:val="0"/>
                <w:i w:val="0"/>
                <w:sz w:val="17"/>
              </w:rPr>
              <w:t>—</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+1,80</w:t>
            </w:r>
          </w:p>
        </w:tc>
        <w:tc>
          <w:tcPr>
            <w:tcW w:type="dxa" w:w="1881"/>
          </w:tcPr>
          <w:p>
            <w:r>
              <w:rPr>
                <w:rFonts w:ascii="Times New Roman" w:hAnsi="Times New Roman"/>
                <w:b w:val="0"/>
                <w:i w:val="0"/>
                <w:sz w:val="17"/>
              </w:rPr>
              <w:t>+1,60</w:t>
            </w:r>
          </w:p>
        </w:tc>
        <w:tc>
          <w:tcPr>
            <w:tcW w:type="dxa" w:w="1881"/>
          </w:tcPr>
          <w:p>
            <w:r>
              <w:rPr>
                <w:rFonts w:ascii="Times New Roman" w:hAnsi="Times New Roman"/>
                <w:b w:val="0"/>
                <w:i w:val="0"/>
                <w:sz w:val="17"/>
              </w:rPr>
              <w:t>dia 4,1</w:t>
            </w:r>
          </w:p>
        </w:tc>
        <w:tc>
          <w:tcPr>
            <w:tcW w:type="dxa" w:w="1881"/>
          </w:tcPr>
          <w:p>
            <w:r>
              <w:rPr>
                <w:rFonts w:ascii="Times New Roman" w:hAnsi="Times New Roman"/>
                <w:b w:val="0"/>
                <w:i w:val="0"/>
                <w:sz w:val="17"/>
              </w:rPr>
              <w:t>3,7, 4,5</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-0,25</w:t>
            </w:r>
          </w:p>
        </w:tc>
        <w:tc>
          <w:tcPr>
            <w:tcW w:type="dxa" w:w="1881"/>
          </w:tcPr>
          <w:p>
            <w:r>
              <w:rPr>
                <w:rFonts w:ascii="Times New Roman" w:hAnsi="Times New Roman"/>
                <w:b w:val="0"/>
                <w:i w:val="0"/>
                <w:sz w:val="17"/>
              </w:rPr>
              <w:t>+0,38</w:t>
            </w:r>
          </w:p>
        </w:tc>
        <w:tc>
          <w:tcPr>
            <w:tcW w:type="dxa" w:w="1881"/>
          </w:tcPr>
          <w:p>
            <w:r>
              <w:rPr>
                <w:rFonts w:ascii="Times New Roman" w:hAnsi="Times New Roman"/>
                <w:b w:val="0"/>
                <w:i w:val="0"/>
                <w:sz w:val="17"/>
              </w:rPr>
              <w:t>n/d</w:t>
            </w:r>
          </w:p>
        </w:tc>
        <w:tc>
          <w:tcPr>
            <w:tcW w:type="dxa" w:w="1881"/>
          </w:tcPr>
          <w:p>
            <w:r>
              <w:rPr>
                <w:rFonts w:ascii="Times New Roman" w:hAnsi="Times New Roman"/>
                <w:b w:val="0"/>
                <w:i w:val="0"/>
                <w:sz w:val="17"/>
              </w:rPr>
              <w:t>3,3</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+2,40</w:t>
            </w:r>
          </w:p>
        </w:tc>
        <w:tc>
          <w:tcPr>
            <w:tcW w:type="dxa" w:w="1881"/>
          </w:tcPr>
          <w:p>
            <w:r>
              <w:rPr>
                <w:rFonts w:ascii="Times New Roman" w:hAnsi="Times New Roman"/>
                <w:b w:val="0"/>
                <w:i w:val="0"/>
                <w:sz w:val="17"/>
              </w:rPr>
              <w:t>+5,62</w:t>
            </w:r>
          </w:p>
        </w:tc>
        <w:tc>
          <w:tcPr>
            <w:tcW w:type="dxa" w:w="1881"/>
          </w:tcPr>
          <w:p>
            <w:r>
              <w:rPr>
                <w:rFonts w:ascii="Times New Roman" w:hAnsi="Times New Roman"/>
                <w:b w:val="0"/>
                <w:i w:val="0"/>
                <w:sz w:val="17"/>
              </w:rPr>
              <w:t>dia 3,5</w:t>
            </w:r>
          </w:p>
        </w:tc>
        <w:tc>
          <w:tcPr>
            <w:tcW w:type="dxa" w:w="1881"/>
          </w:tcPr>
          <w:p>
            <w:r>
              <w:rPr>
                <w:rFonts w:ascii="Times New Roman" w:hAnsi="Times New Roman"/>
                <w:b w:val="0"/>
                <w:i w:val="0"/>
                <w:sz w:val="17"/>
              </w:rPr>
              <w:t>2,3, 4,6</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decomposição mostra que o sinal da semana é a menor fração da variância (fadiga física 13%, vigor 7%, fadiga do BRUMS 4%, PTH 3%, fadiga mental 1%), com SNR favorável apenas à fadiga física (1,82) e ao vigor (1,52); a maior parte é traço e ruído, o que sustenta o monitoramento por médias de coletas e por tendência.</w:t>
      </w:r>
    </w:p>
    <w:p>
      <w:pPr>
        <w:spacing w:before="120" w:line="240" w:lineRule="auto"/>
        <w:jc w:val="left"/>
      </w:pPr>
      <w:r>
        <w:rPr>
          <w:rFonts w:ascii="Times New Roman" w:hAnsi="Times New Roman"/>
          <w:b w:val="0"/>
          <w:i w:val="0"/>
          <w:sz w:val="20"/>
        </w:rPr>
        <w:t>Tabela 8 – Amplitude em três níveis (total, intra-atleta e do sinal), fração da escala utilizada e dose acumulada (área sob a trajetória)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Ampl. total</w:t>
            </w:r>
          </w:p>
        </w:tc>
        <w:tc>
          <w:tcPr>
            <w:tcW w:type="dxa" w:w="1567"/>
          </w:tcPr>
          <w:p>
            <w:r>
              <w:rPr>
                <w:rFonts w:ascii="Times New Roman" w:hAnsi="Times New Roman"/>
                <w:b/>
                <w:i w:val="0"/>
                <w:sz w:val="17"/>
              </w:rPr>
              <w:t>Ampl. intra-atleta</w:t>
            </w:r>
          </w:p>
        </w:tc>
        <w:tc>
          <w:tcPr>
            <w:tcW w:type="dxa" w:w="1567"/>
          </w:tcPr>
          <w:p>
            <w:r>
              <w:rPr>
                <w:rFonts w:ascii="Times New Roman" w:hAnsi="Times New Roman"/>
                <w:b/>
                <w:i w:val="0"/>
                <w:sz w:val="17"/>
              </w:rPr>
              <w:t>Ampl. do sinal</w:t>
            </w:r>
          </w:p>
        </w:tc>
        <w:tc>
          <w:tcPr>
            <w:tcW w:type="dxa" w:w="1567"/>
          </w:tcPr>
          <w:p>
            <w:r>
              <w:rPr>
                <w:rFonts w:ascii="Times New Roman" w:hAnsi="Times New Roman"/>
                <w:b/>
                <w:i w:val="0"/>
                <w:sz w:val="17"/>
              </w:rPr>
              <w:t>% da escala</w:t>
            </w:r>
          </w:p>
        </w:tc>
        <w:tc>
          <w:tcPr>
            <w:tcW w:type="dxa" w:w="1567"/>
          </w:tcPr>
          <w:p>
            <w:r>
              <w:rPr>
                <w:rFonts w:ascii="Times New Roman" w:hAnsi="Times New Roman"/>
                <w:b/>
                <w:i w:val="0"/>
                <w:sz w:val="17"/>
              </w:rPr>
              <w:t>Dose (AUC)</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15</w:t>
            </w:r>
          </w:p>
        </w:tc>
        <w:tc>
          <w:tcPr>
            <w:tcW w:type="dxa" w:w="1567"/>
          </w:tcPr>
          <w:p>
            <w:r>
              <w:rPr>
                <w:rFonts w:ascii="Times New Roman" w:hAnsi="Times New Roman"/>
                <w:b w:val="0"/>
                <w:i w:val="0"/>
                <w:sz w:val="17"/>
              </w:rPr>
              <w:t>4,8</w:t>
            </w:r>
          </w:p>
        </w:tc>
        <w:tc>
          <w:tcPr>
            <w:tcW w:type="dxa" w:w="1567"/>
          </w:tcPr>
          <w:p>
            <w:r>
              <w:rPr>
                <w:rFonts w:ascii="Times New Roman" w:hAnsi="Times New Roman"/>
                <w:b w:val="0"/>
                <w:i w:val="0"/>
                <w:sz w:val="17"/>
              </w:rPr>
              <w:t>3,33</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33,7</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16</w:t>
            </w:r>
          </w:p>
        </w:tc>
        <w:tc>
          <w:tcPr>
            <w:tcW w:type="dxa" w:w="1567"/>
          </w:tcPr>
          <w:p>
            <w:r>
              <w:rPr>
                <w:rFonts w:ascii="Times New Roman" w:hAnsi="Times New Roman"/>
                <w:b w:val="0"/>
                <w:i w:val="0"/>
                <w:sz w:val="17"/>
              </w:rPr>
              <w:t>5,3</w:t>
            </w:r>
          </w:p>
        </w:tc>
        <w:tc>
          <w:tcPr>
            <w:tcW w:type="dxa" w:w="1567"/>
          </w:tcPr>
          <w:p>
            <w:r>
              <w:rPr>
                <w:rFonts w:ascii="Times New Roman" w:hAnsi="Times New Roman"/>
                <w:b w:val="0"/>
                <w:i w:val="0"/>
                <w:sz w:val="17"/>
              </w:rPr>
              <w:t>3,39</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32,5</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3,9</w:t>
            </w:r>
          </w:p>
        </w:tc>
        <w:tc>
          <w:tcPr>
            <w:tcW w:type="dxa" w:w="1567"/>
          </w:tcPr>
          <w:p>
            <w:r>
              <w:rPr>
                <w:rFonts w:ascii="Times New Roman" w:hAnsi="Times New Roman"/>
                <w:b w:val="0"/>
                <w:i w:val="0"/>
                <w:sz w:val="17"/>
              </w:rPr>
              <w:t>3,30</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35,5</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3,1</w:t>
            </w:r>
          </w:p>
        </w:tc>
        <w:tc>
          <w:tcPr>
            <w:tcW w:type="dxa" w:w="1567"/>
          </w:tcPr>
          <w:p>
            <w:r>
              <w:rPr>
                <w:rFonts w:ascii="Times New Roman" w:hAnsi="Times New Roman"/>
                <w:b w:val="0"/>
                <w:i w:val="0"/>
                <w:sz w:val="17"/>
              </w:rPr>
              <w:t>0,76</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27,3</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64</w:t>
            </w:r>
          </w:p>
        </w:tc>
        <w:tc>
          <w:tcPr>
            <w:tcW w:type="dxa" w:w="1567"/>
          </w:tcPr>
          <w:p>
            <w:r>
              <w:rPr>
                <w:rFonts w:ascii="Times New Roman" w:hAnsi="Times New Roman"/>
                <w:b w:val="0"/>
                <w:i w:val="0"/>
                <w:sz w:val="17"/>
              </w:rPr>
              <w:t>12,8</w:t>
            </w:r>
          </w:p>
        </w:tc>
        <w:tc>
          <w:tcPr>
            <w:tcW w:type="dxa" w:w="1567"/>
          </w:tcPr>
          <w:p>
            <w:r>
              <w:rPr>
                <w:rFonts w:ascii="Times New Roman" w:hAnsi="Times New Roman"/>
                <w:b w:val="0"/>
                <w:i w:val="0"/>
                <w:sz w:val="17"/>
              </w:rPr>
              <w:t>6,23</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25,4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Os limites revelam uma hierarquia constante — amplitude do sinal &lt; amplitude intra-atleta &lt; amplitude total —: o atleta oscila 2 a 3 vezes mais que a trajetória média do grupo, porque sua oscilação carrega o próprio ruído, e o sinal do microciclo ocupa apenas 5–33% da escala. A dose acumulada (área sob a trajetória) sintetiza a carga psicométrica total do período. As derivadas (Figuras 3 e 4) descrevem a forma da mudança: a velocidade da fadiga física e da fadiga do BRUMS é máxima nas extremidades (início e Dia 7), com um mínimo no meio da semana; a aceleração troca de sinal uma única vez — o ponto de inflexão —, em torno do Dia 4 para o vigor, a fadiga física e a fadiga do BRUMS (e ≈ Dia 3,5 para a PTH). O sinal da terceira derivada (jerk) é positivo para as fadigas, indicando que a aceleração da deterioração cresce rumo ao fim da semana — a assinatura da precipitação do Dia 7, e não de uma saturação.</w:t>
      </w:r>
    </w:p>
    <w:p>
      <w:pPr>
        <w:spacing w:before="120" w:line="240" w:lineRule="auto"/>
        <w:jc w:val="center"/>
      </w:pPr>
      <w:r>
        <w:rPr>
          <w:rFonts w:ascii="Times New Roman" w:hAnsi="Times New Roman"/>
          <w:b w:val="0"/>
          <w:i w:val="0"/>
          <w:sz w:val="20"/>
        </w:rPr>
        <w:t>Figura 3 – Velocidade (linha cheia) e aceleração (tracejada) da trajetória de cada variável; linha vertical = ponto de inflexão</w:t>
      </w:r>
    </w:p>
    <w:p>
      <w:pPr>
        <w:jc w:val="center"/>
      </w:pPr>
      <w:r>
        <w:drawing>
          <wp:inline xmlns:a="http://schemas.openxmlformats.org/drawingml/2006/main" xmlns:pic="http://schemas.openxmlformats.org/drawingml/2006/picture">
            <wp:extent cx="5120640" cy="3012141"/>
            <wp:docPr id="9" name="Picture 9"/>
            <wp:cNvGraphicFramePr>
              <a:graphicFrameLocks noChangeAspect="1"/>
            </wp:cNvGraphicFramePr>
            <a:graphic>
              <a:graphicData uri="http://schemas.openxmlformats.org/drawingml/2006/picture">
                <pic:pic>
                  <pic:nvPicPr>
                    <pic:cNvPr id="0" name="v_deriv.png"/>
                    <pic:cNvPicPr/>
                  </pic:nvPicPr>
                  <pic:blipFill>
                    <a:blip r:embed="rId17"/>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4 – Velocidade (barras) e aceleração (linha pontilhada) por dia, para cada variável — perfil completo das derivadas</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x_deriv_exp.png"/>
                    <pic:cNvPicPr/>
                  </pic:nvPicPr>
                  <pic:blipFill>
                    <a:blip r:embed="rId1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4.7 Perfil iceberg ao longo da semana</w:t>
      </w:r>
    </w:p>
    <w:p>
      <w:pPr>
        <w:spacing w:before="120" w:line="240" w:lineRule="auto"/>
        <w:jc w:val="left"/>
      </w:pPr>
      <w:r>
        <w:rPr>
          <w:rFonts w:ascii="Times New Roman" w:hAnsi="Times New Roman"/>
          <w:b w:val="0"/>
          <w:i w:val="0"/>
          <w:sz w:val="20"/>
        </w:rPr>
        <w:t>Tabela 9 – Distribuição dos seis perfis de humor (%) em dias-chave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Dia</w:t>
            </w:r>
          </w:p>
        </w:tc>
        <w:tc>
          <w:tcPr>
            <w:tcW w:type="dxa" w:w="1567"/>
          </w:tcPr>
          <w:p>
            <w:r>
              <w:rPr>
                <w:rFonts w:ascii="Times New Roman" w:hAnsi="Times New Roman"/>
                <w:b/>
                <w:i w:val="0"/>
                <w:sz w:val="17"/>
              </w:rPr>
              <w:t>Iceberg</w:t>
            </w:r>
          </w:p>
        </w:tc>
        <w:tc>
          <w:tcPr>
            <w:tcW w:type="dxa" w:w="1567"/>
          </w:tcPr>
          <w:p>
            <w:r>
              <w:rPr>
                <w:rFonts w:ascii="Times New Roman" w:hAnsi="Times New Roman"/>
                <w:b/>
                <w:i w:val="0"/>
                <w:sz w:val="17"/>
              </w:rPr>
              <w:t>Barbatana</w:t>
            </w:r>
          </w:p>
        </w:tc>
        <w:tc>
          <w:tcPr>
            <w:tcW w:type="dxa" w:w="1567"/>
          </w:tcPr>
          <w:p>
            <w:r>
              <w:rPr>
                <w:rFonts w:ascii="Times New Roman" w:hAnsi="Times New Roman"/>
                <w:b/>
                <w:i w:val="0"/>
                <w:sz w:val="17"/>
              </w:rPr>
              <w:t>Superfície</w:t>
            </w:r>
          </w:p>
        </w:tc>
        <w:tc>
          <w:tcPr>
            <w:tcW w:type="dxa" w:w="1567"/>
          </w:tcPr>
          <w:p>
            <w:r>
              <w:rPr>
                <w:rFonts w:ascii="Times New Roman" w:hAnsi="Times New Roman"/>
                <w:b/>
                <w:i w:val="0"/>
                <w:sz w:val="17"/>
              </w:rPr>
              <w:t>Iceberg inv.</w:t>
            </w:r>
          </w:p>
        </w:tc>
        <w:tc>
          <w:tcPr>
            <w:tcW w:type="dxa" w:w="1567"/>
          </w:tcPr>
          <w:p>
            <w:r>
              <w:rPr>
                <w:rFonts w:ascii="Times New Roman" w:hAnsi="Times New Roman"/>
                <w:b/>
                <w:i w:val="0"/>
                <w:sz w:val="17"/>
              </w:rPr>
              <w:t>Everest inv.</w:t>
            </w:r>
          </w:p>
        </w:tc>
      </w:tr>
      <w:tr>
        <w:tc>
          <w:tcPr>
            <w:tcW w:type="dxa" w:w="1567"/>
          </w:tcPr>
          <w:p>
            <w:r>
              <w:rPr>
                <w:rFonts w:ascii="Times New Roman" w:hAnsi="Times New Roman"/>
                <w:b w:val="0"/>
                <w:i w:val="0"/>
                <w:sz w:val="17"/>
              </w:rPr>
              <w:t>Dia 1</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2</w:t>
            </w:r>
          </w:p>
        </w:tc>
        <w:tc>
          <w:tcPr>
            <w:tcW w:type="dxa" w:w="1567"/>
          </w:tcPr>
          <w:p>
            <w:r>
              <w:rPr>
                <w:rFonts w:ascii="Times New Roman" w:hAnsi="Times New Roman"/>
                <w:b w:val="0"/>
                <w:i w:val="0"/>
                <w:sz w:val="17"/>
              </w:rPr>
              <w:t>26</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14</w:t>
            </w:r>
          </w:p>
        </w:tc>
      </w:tr>
      <w:tr>
        <w:tc>
          <w:tcPr>
            <w:tcW w:type="dxa" w:w="1567"/>
          </w:tcPr>
          <w:p>
            <w:r>
              <w:rPr>
                <w:rFonts w:ascii="Times New Roman" w:hAnsi="Times New Roman"/>
                <w:b w:val="0"/>
                <w:i w:val="0"/>
                <w:sz w:val="17"/>
              </w:rPr>
              <w:t>Dia 4</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8</w:t>
            </w:r>
          </w:p>
        </w:tc>
        <w:tc>
          <w:tcPr>
            <w:tcW w:type="dxa" w:w="1567"/>
          </w:tcPr>
          <w:p>
            <w:r>
              <w:rPr>
                <w:rFonts w:ascii="Times New Roman" w:hAnsi="Times New Roman"/>
                <w:b w:val="0"/>
                <w:i w:val="0"/>
                <w:sz w:val="17"/>
              </w:rPr>
              <w:t>35</w:t>
            </w:r>
          </w:p>
        </w:tc>
        <w:tc>
          <w:tcPr>
            <w:tcW w:type="dxa" w:w="1567"/>
          </w:tcPr>
          <w:p>
            <w:r>
              <w:rPr>
                <w:rFonts w:ascii="Times New Roman" w:hAnsi="Times New Roman"/>
                <w:b w:val="0"/>
                <w:i w:val="0"/>
                <w:sz w:val="17"/>
              </w:rPr>
              <w:t>10</w:t>
            </w:r>
          </w:p>
        </w:tc>
        <w:tc>
          <w:tcPr>
            <w:tcW w:type="dxa" w:w="1567"/>
          </w:tcPr>
          <w:p>
            <w:r>
              <w:rPr>
                <w:rFonts w:ascii="Times New Roman" w:hAnsi="Times New Roman"/>
                <w:b w:val="0"/>
                <w:i w:val="0"/>
                <w:sz w:val="17"/>
              </w:rPr>
              <w:t>8</w:t>
            </w:r>
          </w:p>
        </w:tc>
      </w:tr>
      <w:tr>
        <w:tc>
          <w:tcPr>
            <w:tcW w:type="dxa" w:w="1567"/>
          </w:tcPr>
          <w:p>
            <w:r>
              <w:rPr>
                <w:rFonts w:ascii="Times New Roman" w:hAnsi="Times New Roman"/>
                <w:b w:val="0"/>
                <w:i w:val="0"/>
                <w:sz w:val="17"/>
              </w:rPr>
              <w:t>Dia 7</w:t>
            </w:r>
          </w:p>
        </w:tc>
        <w:tc>
          <w:tcPr>
            <w:tcW w:type="dxa" w:w="1567"/>
          </w:tcPr>
          <w:p>
            <w:r>
              <w:rPr>
                <w:rFonts w:ascii="Times New Roman" w:hAnsi="Times New Roman"/>
                <w:b w:val="0"/>
                <w:i w:val="0"/>
                <w:sz w:val="17"/>
              </w:rPr>
              <w:t>17</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28</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classificação nos seis perfis (Figura 4) mostra a migração do perfil saudável para o de fadiga: o iceberg cai do Dia 1 ao Dia 7 e a barbatana de tubarão — fadiga em pico com vigor ainda preservado — cresce expressivamente. O percentual em perfil iceberg e o índice-iceberg declinam ao longo da semana, com precipitação no Dia 7 (Gráfico 7). Os perfis de colapso afetivo permanecem raros, reforçando que o custo do período é somático, e não afetivo.</w:t>
      </w:r>
    </w:p>
    <w:p>
      <w:pPr>
        <w:spacing w:before="120" w:line="240" w:lineRule="auto"/>
        <w:jc w:val="center"/>
      </w:pPr>
      <w:r>
        <w:rPr>
          <w:rFonts w:ascii="Times New Roman" w:hAnsi="Times New Roman"/>
          <w:b w:val="0"/>
          <w:i w:val="0"/>
          <w:sz w:val="20"/>
        </w:rPr>
        <w:t>Gráfico 7 – Perfil iceberg ao longo da semana: percentual em perfil iceberg (barras), índice-iceberg (linha) e regressão</w:t>
      </w:r>
    </w:p>
    <w:p>
      <w:pPr>
        <w:jc w:val="center"/>
      </w:pPr>
      <w:r>
        <w:drawing>
          <wp:inline xmlns:a="http://schemas.openxmlformats.org/drawingml/2006/main" xmlns:pic="http://schemas.openxmlformats.org/drawingml/2006/picture">
            <wp:extent cx="4937760" cy="2777490"/>
            <wp:docPr id="11" name="Picture 11"/>
            <wp:cNvGraphicFramePr>
              <a:graphicFrameLocks noChangeAspect="1"/>
            </wp:cNvGraphicFramePr>
            <a:graphic>
              <a:graphicData uri="http://schemas.openxmlformats.org/drawingml/2006/picture">
                <pic:pic>
                  <pic:nvPicPr>
                    <pic:cNvPr id="0" name="sem_f_iceberg.png"/>
                    <pic:cNvPicPr/>
                  </pic:nvPicPr>
                  <pic:blipFill>
                    <a:blip r:embed="rId1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5 – Esquema dos seis perfis de humor (escores z das subescalas; vigor em verde, negativas em vermelho)</w:t>
      </w:r>
    </w:p>
    <w:p>
      <w:pPr>
        <w:jc w:val="center"/>
      </w:pPr>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fig_perfis_esquema.png"/>
                    <pic:cNvPicPr/>
                  </pic:nvPicPr>
                  <pic:blipFill>
                    <a:blip r:embed="rId20"/>
                    <a:stretch>
                      <a:fillRect/>
                    </a:stretch>
                  </pic:blipFill>
                  <pic:spPr>
                    <a:xfrm>
                      <a:off x="0" y="0"/>
                      <a:ext cx="4754880" cy="267462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4.8 Comportamento individual entre atletas</w:t>
      </w:r>
    </w:p>
    <w:p>
      <w:pPr>
        <w:spacing w:line="360" w:lineRule="auto"/>
        <w:ind w:firstLine="709"/>
        <w:jc w:val="both"/>
      </w:pPr>
      <w:r>
        <w:rPr>
          <w:rFonts w:ascii="Times New Roman" w:hAnsi="Times New Roman"/>
          <w:b w:val="0"/>
          <w:i w:val="0"/>
          <w:sz w:val="24"/>
        </w:rPr>
        <w:t>No nível individual, a heterogeneidade é marcante. A variação da linha de base ao último dia difere amplamente entre atletas (Gráfico 8): quase todos reduzem o vigor e elevam a fadiga física, mas em magnitudes distintas, havendo atletas com variação modesta e outros com grande deterioração. As trajetórias individuais e a resposta pré→pós (Figura 5) confirmam a direção compartilhada com dispersão substancial: escores idênticos podem representar estados de recuperação distintos conforme a referência de cada atleta. Esses achados desaconselham pontos de corte normativos únicos e sustentam o referenciamento de cada atleta à sua própria linha de base, com decisões apoiadas em médias de coletas.</w:t>
      </w:r>
    </w:p>
    <w:p>
      <w:pPr>
        <w:spacing w:before="120" w:line="240" w:lineRule="auto"/>
        <w:jc w:val="center"/>
      </w:pPr>
      <w:r>
        <w:rPr>
          <w:rFonts w:ascii="Times New Roman" w:hAnsi="Times New Roman"/>
          <w:b w:val="0"/>
          <w:i w:val="0"/>
          <w:sz w:val="20"/>
        </w:rPr>
        <w:t>Gráfico 8 – Variação individual da linha de base ao último dia (Δ D7 − D1) por atleta, para o vigor e a fadiga física</w:t>
      </w:r>
    </w:p>
    <w:p>
      <w:pPr>
        <w:jc w:val="center"/>
      </w:pPr>
      <w:r>
        <w:drawing>
          <wp:inline xmlns:a="http://schemas.openxmlformats.org/drawingml/2006/main" xmlns:pic="http://schemas.openxmlformats.org/drawingml/2006/picture">
            <wp:extent cx="5120640" cy="3012141"/>
            <wp:docPr id="13" name="Picture 13"/>
            <wp:cNvGraphicFramePr>
              <a:graphicFrameLocks noChangeAspect="1"/>
            </wp:cNvGraphicFramePr>
            <a:graphic>
              <a:graphicData uri="http://schemas.openxmlformats.org/drawingml/2006/picture">
                <pic:pic>
                  <pic:nvPicPr>
                    <pic:cNvPr id="0" name="v_delta.png"/>
                    <pic:cNvPicPr/>
                  </pic:nvPicPr>
                  <pic:blipFill>
                    <a:blip r:embed="rId21"/>
                    <a:stretch>
                      <a:fillRect/>
                    </a:stretch>
                  </pic:blipFill>
                  <pic:spPr>
                    <a:xfrm>
                      <a:off x="0" y="0"/>
                      <a:ext cx="5120640" cy="301214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center"/>
      </w:pPr>
      <w:r>
        <w:rPr>
          <w:rFonts w:ascii="Times New Roman" w:hAnsi="Times New Roman"/>
          <w:b w:val="0"/>
          <w:i w:val="0"/>
          <w:sz w:val="20"/>
        </w:rPr>
        <w:t>Figura 6 – Comportamento individual: trajetórias semanais (superior) e resposta pré→pós (inferior) do vigor e da fadiga física (linha em destaque = média do grupo)</w:t>
      </w:r>
    </w:p>
    <w:p>
      <w:pPr>
        <w:jc w:val="center"/>
      </w:pPr>
      <w:r>
        <w:drawing>
          <wp:inline xmlns:a="http://schemas.openxmlformats.org/drawingml/2006/main" xmlns:pic="http://schemas.openxmlformats.org/drawingml/2006/picture">
            <wp:extent cx="5303520" cy="3119718"/>
            <wp:docPr id="14" name="Picture 14"/>
            <wp:cNvGraphicFramePr>
              <a:graphicFrameLocks noChangeAspect="1"/>
            </wp:cNvGraphicFramePr>
            <a:graphic>
              <a:graphicData uri="http://schemas.openxmlformats.org/drawingml/2006/picture">
                <pic:pic>
                  <pic:nvPicPr>
                    <pic:cNvPr id="0" name="v_individual.png"/>
                    <pic:cNvPicPr/>
                  </pic:nvPicPr>
                  <pic:blipFill>
                    <a:blip r:embed="rId22"/>
                    <a:stretch>
                      <a:fillRect/>
                    </a:stretch>
                  </pic:blipFill>
                  <pic:spPr>
                    <a:xfrm>
                      <a:off x="0" y="0"/>
                      <a:ext cx="5303520" cy="311971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4.9 Decomposição avançada: generalizabilidade, heterogeneidade e dimensionalidade</w:t>
      </w:r>
    </w:p>
    <w:p>
      <w:pPr>
        <w:spacing w:before="120" w:line="240" w:lineRule="auto"/>
        <w:jc w:val="left"/>
      </w:pPr>
      <w:r>
        <w:rPr>
          <w:rFonts w:ascii="Times New Roman" w:hAnsi="Times New Roman"/>
          <w:b w:val="0"/>
          <w:i w:val="0"/>
          <w:sz w:val="20"/>
        </w:rPr>
        <w:t>Tabela 10 – Decomposição em três facetas (traço, estado e ruído), fidedignidade de uma medida (ICC) e dependabilidade (Φ, k = 14 coletas)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Variável</w:t>
            </w:r>
          </w:p>
        </w:tc>
        <w:tc>
          <w:tcPr>
            <w:tcW w:type="dxa" w:w="1567"/>
          </w:tcPr>
          <w:p>
            <w:r>
              <w:rPr>
                <w:rFonts w:ascii="Times New Roman" w:hAnsi="Times New Roman"/>
                <w:b/>
                <w:i w:val="0"/>
                <w:sz w:val="17"/>
              </w:rPr>
              <w:t>% Traço (atleta)</w:t>
            </w:r>
          </w:p>
        </w:tc>
        <w:tc>
          <w:tcPr>
            <w:tcW w:type="dxa" w:w="1567"/>
          </w:tcPr>
          <w:p>
            <w:r>
              <w:rPr>
                <w:rFonts w:ascii="Times New Roman" w:hAnsi="Times New Roman"/>
                <w:b/>
                <w:i w:val="0"/>
                <w:sz w:val="17"/>
              </w:rPr>
              <w:t>% Estado (dia)</w:t>
            </w:r>
          </w:p>
        </w:tc>
        <w:tc>
          <w:tcPr>
            <w:tcW w:type="dxa" w:w="1567"/>
          </w:tcPr>
          <w:p>
            <w:r>
              <w:rPr>
                <w:rFonts w:ascii="Times New Roman" w:hAnsi="Times New Roman"/>
                <w:b/>
                <w:i w:val="0"/>
                <w:sz w:val="17"/>
              </w:rPr>
              <w:t>% Ruído (intra-dia)</w:t>
            </w:r>
          </w:p>
        </w:tc>
        <w:tc>
          <w:tcPr>
            <w:tcW w:type="dxa" w:w="1567"/>
          </w:tcPr>
          <w:p>
            <w:r>
              <w:rPr>
                <w:rFonts w:ascii="Times New Roman" w:hAnsi="Times New Roman"/>
                <w:b/>
                <w:i w:val="0"/>
                <w:sz w:val="17"/>
              </w:rPr>
              <w:t>ICC₁</w:t>
            </w:r>
          </w:p>
        </w:tc>
        <w:tc>
          <w:tcPr>
            <w:tcW w:type="dxa" w:w="1567"/>
          </w:tcPr>
          <w:p>
            <w:r>
              <w:rPr>
                <w:rFonts w:ascii="Times New Roman" w:hAnsi="Times New Roman"/>
                <w:b/>
                <w:i w:val="0"/>
                <w:sz w:val="17"/>
              </w:rPr>
              <w:t>Φ</w:t>
            </w:r>
          </w:p>
        </w:tc>
      </w:tr>
      <w:tr>
        <w:tc>
          <w:tcPr>
            <w:tcW w:type="dxa" w:w="1567"/>
          </w:tcPr>
          <w:p>
            <w:r>
              <w:rPr>
                <w:rFonts w:ascii="Times New Roman" w:hAnsi="Times New Roman"/>
                <w:b w:val="0"/>
                <w:i w:val="0"/>
                <w:sz w:val="17"/>
              </w:rPr>
              <w:t>Vigor</w:t>
            </w:r>
          </w:p>
        </w:tc>
        <w:tc>
          <w:tcPr>
            <w:tcW w:type="dxa" w:w="1567"/>
          </w:tcPr>
          <w:p>
            <w:r>
              <w:rPr>
                <w:rFonts w:ascii="Times New Roman" w:hAnsi="Times New Roman"/>
                <w:b w:val="0"/>
                <w:i w:val="0"/>
                <w:sz w:val="17"/>
              </w:rPr>
              <w:t>51%</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40%</w:t>
            </w:r>
          </w:p>
        </w:tc>
        <w:tc>
          <w:tcPr>
            <w:tcW w:type="dxa" w:w="1567"/>
          </w:tcPr>
          <w:p>
            <w:r>
              <w:rPr>
                <w:rFonts w:ascii="Times New Roman" w:hAnsi="Times New Roman"/>
                <w:b w:val="0"/>
                <w:i w:val="0"/>
                <w:sz w:val="17"/>
              </w:rPr>
              <w:t>0,51</w:t>
            </w:r>
          </w:p>
        </w:tc>
        <w:tc>
          <w:tcPr>
            <w:tcW w:type="dxa" w:w="1567"/>
          </w:tcPr>
          <w:p>
            <w:r>
              <w:rPr>
                <w:rFonts w:ascii="Times New Roman" w:hAnsi="Times New Roman"/>
                <w:b w:val="0"/>
                <w:i w:val="0"/>
                <w:sz w:val="17"/>
              </w:rPr>
              <w:t>0,92</w:t>
            </w:r>
          </w:p>
        </w:tc>
      </w:tr>
      <w:tr>
        <w:tc>
          <w:tcPr>
            <w:tcW w:type="dxa" w:w="1567"/>
          </w:tcPr>
          <w:p>
            <w:r>
              <w:rPr>
                <w:rFonts w:ascii="Times New Roman" w:hAnsi="Times New Roman"/>
                <w:b w:val="0"/>
                <w:i w:val="0"/>
                <w:sz w:val="17"/>
              </w:rPr>
              <w:t>Fadiga BRUMS</w:t>
            </w:r>
          </w:p>
        </w:tc>
        <w:tc>
          <w:tcPr>
            <w:tcW w:type="dxa" w:w="1567"/>
          </w:tcPr>
          <w:p>
            <w:r>
              <w:rPr>
                <w:rFonts w:ascii="Times New Roman" w:hAnsi="Times New Roman"/>
                <w:b w:val="0"/>
                <w:i w:val="0"/>
                <w:sz w:val="17"/>
              </w:rPr>
              <w:t>54%</w:t>
            </w:r>
          </w:p>
        </w:tc>
        <w:tc>
          <w:tcPr>
            <w:tcW w:type="dxa" w:w="1567"/>
          </w:tcPr>
          <w:p>
            <w:r>
              <w:rPr>
                <w:rFonts w:ascii="Times New Roman" w:hAnsi="Times New Roman"/>
                <w:b w:val="0"/>
                <w:i w:val="0"/>
                <w:sz w:val="17"/>
              </w:rPr>
              <w:t>5%</w:t>
            </w:r>
          </w:p>
        </w:tc>
        <w:tc>
          <w:tcPr>
            <w:tcW w:type="dxa" w:w="1567"/>
          </w:tcPr>
          <w:p>
            <w:r>
              <w:rPr>
                <w:rFonts w:ascii="Times New Roman" w:hAnsi="Times New Roman"/>
                <w:b w:val="0"/>
                <w:i w:val="0"/>
                <w:sz w:val="17"/>
              </w:rPr>
              <w:t>41%</w:t>
            </w:r>
          </w:p>
        </w:tc>
        <w:tc>
          <w:tcPr>
            <w:tcW w:type="dxa" w:w="1567"/>
          </w:tcPr>
          <w:p>
            <w:r>
              <w:rPr>
                <w:rFonts w:ascii="Times New Roman" w:hAnsi="Times New Roman"/>
                <w:b w:val="0"/>
                <w:i w:val="0"/>
                <w:sz w:val="17"/>
              </w:rPr>
              <w:t>0,54</w:t>
            </w:r>
          </w:p>
        </w:tc>
        <w:tc>
          <w:tcPr>
            <w:tcW w:type="dxa" w:w="1567"/>
          </w:tcPr>
          <w:p>
            <w:r>
              <w:rPr>
                <w:rFonts w:ascii="Times New Roman" w:hAnsi="Times New Roman"/>
                <w:b w:val="0"/>
                <w:i w:val="0"/>
                <w:sz w:val="17"/>
              </w:rPr>
              <w:t>0,94</w:t>
            </w:r>
          </w:p>
        </w:tc>
      </w:tr>
      <w:tr>
        <w:tc>
          <w:tcPr>
            <w:tcW w:type="dxa" w:w="1567"/>
          </w:tcPr>
          <w:p>
            <w:r>
              <w:rPr>
                <w:rFonts w:ascii="Times New Roman" w:hAnsi="Times New Roman"/>
                <w:b w:val="0"/>
                <w:i w:val="0"/>
                <w:sz w:val="17"/>
              </w:rPr>
              <w:t>Fadiga física</w:t>
            </w:r>
          </w:p>
        </w:tc>
        <w:tc>
          <w:tcPr>
            <w:tcW w:type="dxa" w:w="1567"/>
          </w:tcPr>
          <w:p>
            <w:r>
              <w:rPr>
                <w:rFonts w:ascii="Times New Roman" w:hAnsi="Times New Roman"/>
                <w:b w:val="0"/>
                <w:i w:val="0"/>
                <w:sz w:val="17"/>
              </w:rPr>
              <w:t>33%</w:t>
            </w:r>
          </w:p>
        </w:tc>
        <w:tc>
          <w:tcPr>
            <w:tcW w:type="dxa" w:w="1567"/>
          </w:tcPr>
          <w:p>
            <w:r>
              <w:rPr>
                <w:rFonts w:ascii="Times New Roman" w:hAnsi="Times New Roman"/>
                <w:b w:val="0"/>
                <w:i w:val="0"/>
                <w:sz w:val="17"/>
              </w:rPr>
              <w:t>6%</w:t>
            </w:r>
          </w:p>
        </w:tc>
        <w:tc>
          <w:tcPr>
            <w:tcW w:type="dxa" w:w="1567"/>
          </w:tcPr>
          <w:p>
            <w:r>
              <w:rPr>
                <w:rFonts w:ascii="Times New Roman" w:hAnsi="Times New Roman"/>
                <w:b w:val="0"/>
                <w:i w:val="0"/>
                <w:sz w:val="17"/>
              </w:rPr>
              <w:t>60%</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0,86</w:t>
            </w:r>
          </w:p>
        </w:tc>
      </w:tr>
      <w:tr>
        <w:tc>
          <w:tcPr>
            <w:tcW w:type="dxa" w:w="1567"/>
          </w:tcPr>
          <w:p>
            <w:r>
              <w:rPr>
                <w:rFonts w:ascii="Times New Roman" w:hAnsi="Times New Roman"/>
                <w:b w:val="0"/>
                <w:i w:val="0"/>
                <w:sz w:val="17"/>
              </w:rPr>
              <w:t>Fadiga mental</w:t>
            </w:r>
          </w:p>
        </w:tc>
        <w:tc>
          <w:tcPr>
            <w:tcW w:type="dxa" w:w="1567"/>
          </w:tcPr>
          <w:p>
            <w:r>
              <w:rPr>
                <w:rFonts w:ascii="Times New Roman" w:hAnsi="Times New Roman"/>
                <w:b w:val="0"/>
                <w:i w:val="0"/>
                <w:sz w:val="17"/>
              </w:rPr>
              <w:t>67%</w:t>
            </w:r>
          </w:p>
        </w:tc>
        <w:tc>
          <w:tcPr>
            <w:tcW w:type="dxa" w:w="1567"/>
          </w:tcPr>
          <w:p>
            <w:r>
              <w:rPr>
                <w:rFonts w:ascii="Times New Roman" w:hAnsi="Times New Roman"/>
                <w:b w:val="0"/>
                <w:i w:val="0"/>
                <w:sz w:val="17"/>
              </w:rPr>
              <w:t>3%</w:t>
            </w:r>
          </w:p>
        </w:tc>
        <w:tc>
          <w:tcPr>
            <w:tcW w:type="dxa" w:w="1567"/>
          </w:tcPr>
          <w:p>
            <w:r>
              <w:rPr>
                <w:rFonts w:ascii="Times New Roman" w:hAnsi="Times New Roman"/>
                <w:b w:val="0"/>
                <w:i w:val="0"/>
                <w:sz w:val="17"/>
              </w:rPr>
              <w:t>30%</w:t>
            </w:r>
          </w:p>
        </w:tc>
        <w:tc>
          <w:tcPr>
            <w:tcW w:type="dxa" w:w="1567"/>
          </w:tcPr>
          <w:p>
            <w:r>
              <w:rPr>
                <w:rFonts w:ascii="Times New Roman" w:hAnsi="Times New Roman"/>
                <w:b w:val="0"/>
                <w:i w:val="0"/>
                <w:sz w:val="17"/>
              </w:rPr>
              <w:t>0,67</w:t>
            </w:r>
          </w:p>
        </w:tc>
        <w:tc>
          <w:tcPr>
            <w:tcW w:type="dxa" w:w="1567"/>
          </w:tcPr>
          <w:p>
            <w:r>
              <w:rPr>
                <w:rFonts w:ascii="Times New Roman" w:hAnsi="Times New Roman"/>
                <w:b w:val="0"/>
                <w:i w:val="0"/>
                <w:sz w:val="17"/>
              </w:rPr>
              <w:t>0,96</w:t>
            </w:r>
          </w:p>
        </w:tc>
      </w:tr>
      <w:tr>
        <w:tc>
          <w:tcPr>
            <w:tcW w:type="dxa" w:w="1567"/>
          </w:tcPr>
          <w:p>
            <w:r>
              <w:rPr>
                <w:rFonts w:ascii="Times New Roman" w:hAnsi="Times New Roman"/>
                <w:b w:val="0"/>
                <w:i w:val="0"/>
                <w:sz w:val="17"/>
              </w:rPr>
              <w:t>PTH/TMD</w:t>
            </w:r>
          </w:p>
        </w:tc>
        <w:tc>
          <w:tcPr>
            <w:tcW w:type="dxa" w:w="1567"/>
          </w:tcPr>
          <w:p>
            <w:r>
              <w:rPr>
                <w:rFonts w:ascii="Times New Roman" w:hAnsi="Times New Roman"/>
                <w:b w:val="0"/>
                <w:i w:val="0"/>
                <w:sz w:val="17"/>
              </w:rPr>
              <w:t>55%</w:t>
            </w:r>
          </w:p>
        </w:tc>
        <w:tc>
          <w:tcPr>
            <w:tcW w:type="dxa" w:w="1567"/>
          </w:tcPr>
          <w:p>
            <w:r>
              <w:rPr>
                <w:rFonts w:ascii="Times New Roman" w:hAnsi="Times New Roman"/>
                <w:b w:val="0"/>
                <w:i w:val="0"/>
                <w:sz w:val="17"/>
              </w:rPr>
              <w:t>9%</w:t>
            </w:r>
          </w:p>
        </w:tc>
        <w:tc>
          <w:tcPr>
            <w:tcW w:type="dxa" w:w="1567"/>
          </w:tcPr>
          <w:p>
            <w:r>
              <w:rPr>
                <w:rFonts w:ascii="Times New Roman" w:hAnsi="Times New Roman"/>
                <w:b w:val="0"/>
                <w:i w:val="0"/>
                <w:sz w:val="17"/>
              </w:rPr>
              <w:t>36%</w:t>
            </w:r>
          </w:p>
        </w:tc>
        <w:tc>
          <w:tcPr>
            <w:tcW w:type="dxa" w:w="1567"/>
          </w:tcPr>
          <w:p>
            <w:r>
              <w:rPr>
                <w:rFonts w:ascii="Times New Roman" w:hAnsi="Times New Roman"/>
                <w:b w:val="0"/>
                <w:i w:val="0"/>
                <w:sz w:val="17"/>
              </w:rPr>
              <w:t>0,55</w:t>
            </w:r>
          </w:p>
        </w:tc>
        <w:tc>
          <w:tcPr>
            <w:tcW w:type="dxa" w:w="1567"/>
          </w:tcPr>
          <w:p>
            <w:r>
              <w:rPr>
                <w:rFonts w:ascii="Times New Roman" w:hAnsi="Times New Roman"/>
                <w:b w:val="0"/>
                <w:i w:val="0"/>
                <w:sz w:val="17"/>
              </w:rPr>
              <w:t>0,93</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teoria da generalizabilidade permite separar o que o modelo de dois fatores agregava: além do traço (diferenças estáveis entre atletas) e do ruído (erro intra-dia), isola-se o estado — a variância atribuível ao dia, isto é, ao sinal do microciclo. Essa fatia de estado é pequena em todas as variáveis (3–9%), confirmando que a oscilação semanal, embora real, é modesta frente ao traço e ao ruído (Gráfico 9). A fidedignidade de uma única medida (ICC₁) é moderada (0,33–0,67), mas a dependabilidade da média das coletas da semana é excelente (Φ = 0,86–0,96), o que fundamenta, de forma quantitativa, a recomendação de decidir por médias e não por registros isolados.</w:t>
      </w:r>
    </w:p>
    <w:p>
      <w:pPr>
        <w:spacing w:before="120" w:line="240" w:lineRule="auto"/>
        <w:jc w:val="center"/>
      </w:pPr>
      <w:r>
        <w:rPr>
          <w:rFonts w:ascii="Times New Roman" w:hAnsi="Times New Roman"/>
          <w:b w:val="0"/>
          <w:i w:val="0"/>
          <w:sz w:val="20"/>
        </w:rPr>
        <w:t>Gráfico 9 – Decomposição da variância em três facetas: estado (sinal do microciclo), traço e ruído</w:t>
      </w:r>
    </w:p>
    <w:p>
      <w:pPr>
        <w:jc w:val="center"/>
      </w:pPr>
      <w:r>
        <w:drawing>
          <wp:inline xmlns:a="http://schemas.openxmlformats.org/drawingml/2006/main" xmlns:pic="http://schemas.openxmlformats.org/drawingml/2006/picture">
            <wp:extent cx="4937760" cy="2777490"/>
            <wp:docPr id="15" name="Picture 15"/>
            <wp:cNvGraphicFramePr>
              <a:graphicFrameLocks noChangeAspect="1"/>
            </wp:cNvGraphicFramePr>
            <a:graphic>
              <a:graphicData uri="http://schemas.openxmlformats.org/drawingml/2006/picture">
                <pic:pic>
                  <pic:nvPicPr>
                    <pic:cNvPr id="0" name="x_facet.png"/>
                    <pic:cNvPicPr/>
                  </pic:nvPicPr>
                  <pic:blipFill>
                    <a:blip r:embed="rId23"/>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11 – Heterogeneidade do declínio (inclinação individual) e natureza do ruído (autocorrelação de lag-1 dos resíduos)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Inclinação média/dia</w:t>
            </w:r>
          </w:p>
        </w:tc>
        <w:tc>
          <w:tcPr>
            <w:tcW w:type="dxa" w:w="1881"/>
          </w:tcPr>
          <w:p>
            <w:r>
              <w:rPr>
                <w:rFonts w:ascii="Times New Roman" w:hAnsi="Times New Roman"/>
                <w:b/>
                <w:i w:val="0"/>
                <w:sz w:val="17"/>
              </w:rPr>
              <w:t>DP entre atletas</w:t>
            </w:r>
          </w:p>
        </w:tc>
        <w:tc>
          <w:tcPr>
            <w:tcW w:type="dxa" w:w="1881"/>
          </w:tcPr>
          <w:p>
            <w:r>
              <w:rPr>
                <w:rFonts w:ascii="Times New Roman" w:hAnsi="Times New Roman"/>
                <w:b/>
                <w:i w:val="0"/>
                <w:sz w:val="17"/>
              </w:rPr>
              <w:t>ACF(1)</w:t>
            </w:r>
          </w:p>
        </w:tc>
        <w:tc>
          <w:tcPr>
            <w:tcW w:type="dxa" w:w="1881"/>
          </w:tcPr>
          <w:p>
            <w:r>
              <w:rPr>
                <w:rFonts w:ascii="Times New Roman" w:hAnsi="Times New Roman"/>
                <w:b/>
                <w:i w:val="0"/>
                <w:sz w:val="17"/>
              </w:rPr>
              <w:t>Ruído</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-0,324</w:t>
            </w:r>
          </w:p>
        </w:tc>
        <w:tc>
          <w:tcPr>
            <w:tcW w:type="dxa" w:w="1881"/>
          </w:tcPr>
          <w:p>
            <w:r>
              <w:rPr>
                <w:rFonts w:ascii="Times New Roman" w:hAnsi="Times New Roman"/>
                <w:b w:val="0"/>
                <w:i w:val="0"/>
                <w:sz w:val="17"/>
              </w:rPr>
              <w:t>0,396</w:t>
            </w:r>
          </w:p>
        </w:tc>
        <w:tc>
          <w:tcPr>
            <w:tcW w:type="dxa" w:w="1881"/>
          </w:tcPr>
          <w:p>
            <w:r>
              <w:rPr>
                <w:rFonts w:ascii="Times New Roman" w:hAnsi="Times New Roman"/>
                <w:b w:val="0"/>
                <w:i w:val="0"/>
                <w:sz w:val="17"/>
              </w:rPr>
              <w:t>+0,01</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+0,343</w:t>
            </w:r>
          </w:p>
        </w:tc>
        <w:tc>
          <w:tcPr>
            <w:tcW w:type="dxa" w:w="1881"/>
          </w:tcPr>
          <w:p>
            <w:r>
              <w:rPr>
                <w:rFonts w:ascii="Times New Roman" w:hAnsi="Times New Roman"/>
                <w:b w:val="0"/>
                <w:i w:val="0"/>
                <w:sz w:val="17"/>
              </w:rPr>
              <w:t>0,464</w:t>
            </w:r>
          </w:p>
        </w:tc>
        <w:tc>
          <w:tcPr>
            <w:tcW w:type="dxa" w:w="1881"/>
          </w:tcPr>
          <w:p>
            <w:r>
              <w:rPr>
                <w:rFonts w:ascii="Times New Roman" w:hAnsi="Times New Roman"/>
                <w:b w:val="0"/>
                <w:i w:val="0"/>
                <w:sz w:val="17"/>
              </w:rPr>
              <w:t>-0,08</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+0,401</w:t>
            </w:r>
          </w:p>
        </w:tc>
        <w:tc>
          <w:tcPr>
            <w:tcW w:type="dxa" w:w="1881"/>
          </w:tcPr>
          <w:p>
            <w:r>
              <w:rPr>
                <w:rFonts w:ascii="Times New Roman" w:hAnsi="Times New Roman"/>
                <w:b w:val="0"/>
                <w:i w:val="0"/>
                <w:sz w:val="17"/>
              </w:rPr>
              <w:t>0,090</w:t>
            </w:r>
          </w:p>
        </w:tc>
        <w:tc>
          <w:tcPr>
            <w:tcW w:type="dxa" w:w="1881"/>
          </w:tcPr>
          <w:p>
            <w:r>
              <w:rPr>
                <w:rFonts w:ascii="Times New Roman" w:hAnsi="Times New Roman"/>
                <w:b w:val="0"/>
                <w:i w:val="0"/>
                <w:sz w:val="17"/>
              </w:rPr>
              <w:t>-0,27</w:t>
            </w:r>
          </w:p>
        </w:tc>
        <w:tc>
          <w:tcPr>
            <w:tcW w:type="dxa" w:w="1881"/>
          </w:tcPr>
          <w:p>
            <w:r>
              <w:rPr>
                <w:rFonts w:ascii="Times New Roman" w:hAnsi="Times New Roman"/>
                <w:b w:val="0"/>
                <w:i w:val="0"/>
                <w:sz w:val="17"/>
              </w:rPr>
              <w:t>estruturado</w:t>
            </w:r>
          </w:p>
        </w:tc>
      </w:tr>
      <w:tr>
        <w:tc>
          <w:tcPr>
            <w:tcW w:type="dxa" w:w="1881"/>
          </w:tcPr>
          <w:p>
            <w:r>
              <w:rPr>
                <w:rFonts w:ascii="Times New Roman" w:hAnsi="Times New Roman"/>
                <w:b w:val="0"/>
                <w:i w:val="0"/>
                <w:sz w:val="17"/>
              </w:rPr>
              <w:t>Fadiga mental</w:t>
            </w:r>
          </w:p>
        </w:tc>
        <w:tc>
          <w:tcPr>
            <w:tcW w:type="dxa" w:w="1881"/>
          </w:tcPr>
          <w:p>
            <w:r>
              <w:rPr>
                <w:rFonts w:ascii="Times New Roman" w:hAnsi="Times New Roman"/>
                <w:b w:val="0"/>
                <w:i w:val="0"/>
                <w:sz w:val="17"/>
              </w:rPr>
              <w:t>+0,115</w:t>
            </w:r>
          </w:p>
        </w:tc>
        <w:tc>
          <w:tcPr>
            <w:tcW w:type="dxa" w:w="1881"/>
          </w:tcPr>
          <w:p>
            <w:r>
              <w:rPr>
                <w:rFonts w:ascii="Times New Roman" w:hAnsi="Times New Roman"/>
                <w:b w:val="0"/>
                <w:i w:val="0"/>
                <w:sz w:val="17"/>
              </w:rPr>
              <w:t>0,107</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branco</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+0,554</w:t>
            </w:r>
          </w:p>
        </w:tc>
        <w:tc>
          <w:tcPr>
            <w:tcW w:type="dxa" w:w="1881"/>
          </w:tcPr>
          <w:p>
            <w:r>
              <w:rPr>
                <w:rFonts w:ascii="Times New Roman" w:hAnsi="Times New Roman"/>
                <w:b w:val="0"/>
                <w:i w:val="0"/>
                <w:sz w:val="17"/>
              </w:rPr>
              <w:t>1,291</w:t>
            </w:r>
          </w:p>
        </w:tc>
        <w:tc>
          <w:tcPr>
            <w:tcW w:type="dxa" w:w="1881"/>
          </w:tcPr>
          <w:p>
            <w:r>
              <w:rPr>
                <w:rFonts w:ascii="Times New Roman" w:hAnsi="Times New Roman"/>
                <w:b w:val="0"/>
                <w:i w:val="0"/>
                <w:sz w:val="17"/>
              </w:rPr>
              <w:t>-0,05</w:t>
            </w:r>
          </w:p>
        </w:tc>
        <w:tc>
          <w:tcPr>
            <w:tcW w:type="dxa" w:w="1881"/>
          </w:tcPr>
          <w:p>
            <w:r>
              <w:rPr>
                <w:rFonts w:ascii="Times New Roman" w:hAnsi="Times New Roman"/>
                <w:b w:val="0"/>
                <w:i w:val="0"/>
                <w:sz w:val="17"/>
              </w:rPr>
              <w:t>branco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de inclinação aleatória revela quão uniformemente os atletas se deterioram: a fadiga física apresenta a menor dispersão de inclinações (DP = 0,09/dia) — todos pioram praticamente no mesmo ritmo, o que a torna previsível —, ao passo que a PTH tem inclinações muito heterogêneas (DP = 1,29/dia), com atletas melhorando e outros piorando (Figura 6). A autocorrelação de lag-1 dos resíduos é próxima de zero na maioria das variáveis, indicando ruído essencialmente branco (erro de medida puro), o que valida a decomposição; a fadiga física é a exceção (ACF = −0,27), sugerindo leve reversão à média — parte de seu resíduo é flutuação lenta, não apenas erro.</w:t>
      </w:r>
    </w:p>
    <w:p>
      <w:pPr>
        <w:spacing w:before="120" w:line="240" w:lineRule="auto"/>
        <w:jc w:val="center"/>
      </w:pPr>
      <w:r>
        <w:rPr>
          <w:rFonts w:ascii="Times New Roman" w:hAnsi="Times New Roman"/>
          <w:b w:val="0"/>
          <w:i w:val="0"/>
          <w:sz w:val="20"/>
        </w:rPr>
        <w:t>Figura 7 – Distribuição das inclinações individuais (unidade por dia) por variável — heterogeneidade do declínio entre atletas</w:t>
      </w:r>
    </w:p>
    <w:p>
      <w:pPr>
        <w:jc w:val="center"/>
      </w:pPr>
      <w:r>
        <w:drawing>
          <wp:inline xmlns:a="http://schemas.openxmlformats.org/drawingml/2006/main" xmlns:pic="http://schemas.openxmlformats.org/drawingml/2006/picture">
            <wp:extent cx="4937760" cy="2777490"/>
            <wp:docPr id="16" name="Picture 16"/>
            <wp:cNvGraphicFramePr>
              <a:graphicFrameLocks noChangeAspect="1"/>
            </wp:cNvGraphicFramePr>
            <a:graphic>
              <a:graphicData uri="http://schemas.openxmlformats.org/drawingml/2006/picture">
                <pic:pic>
                  <pic:nvPicPr>
                    <pic:cNvPr id="0" name="x_slopes.png"/>
                    <pic:cNvPicPr/>
                  </pic:nvPicPr>
                  <pic:blipFill>
                    <a:blip r:embed="rId24"/>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12 – Mudança confiável por atleta (RCI): erro típico, mudança mínima detectável e proporção de atletas com mudança individual confiável (D1→D7)</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2351"/>
        <w:gridCol w:w="2351"/>
        <w:gridCol w:w="2351"/>
        <w:gridCol w:w="2351"/>
      </w:tblGrid>
      <w:tr>
        <w:tc>
          <w:tcPr>
            <w:tcW w:type="dxa" w:w="2351"/>
          </w:tcPr>
          <w:p>
            <w:r>
              <w:rPr>
                <w:rFonts w:ascii="Times New Roman" w:hAnsi="Times New Roman"/>
                <w:b/>
                <w:i w:val="0"/>
                <w:sz w:val="17"/>
              </w:rPr>
              <w:t>Variável</w:t>
            </w:r>
          </w:p>
        </w:tc>
        <w:tc>
          <w:tcPr>
            <w:tcW w:type="dxa" w:w="2351"/>
          </w:tcPr>
          <w:p>
            <w:r>
              <w:rPr>
                <w:rFonts w:ascii="Times New Roman" w:hAnsi="Times New Roman"/>
                <w:b/>
                <w:i w:val="0"/>
                <w:sz w:val="17"/>
              </w:rPr>
              <w:t>ETM</w:t>
            </w:r>
          </w:p>
        </w:tc>
        <w:tc>
          <w:tcPr>
            <w:tcW w:type="dxa" w:w="2351"/>
          </w:tcPr>
          <w:p>
            <w:r>
              <w:rPr>
                <w:rFonts w:ascii="Times New Roman" w:hAnsi="Times New Roman"/>
                <w:b/>
                <w:i w:val="0"/>
                <w:sz w:val="17"/>
              </w:rPr>
              <w:t>MDC95</w:t>
            </w:r>
          </w:p>
        </w:tc>
        <w:tc>
          <w:tcPr>
            <w:tcW w:type="dxa" w:w="2351"/>
          </w:tcPr>
          <w:p>
            <w:r>
              <w:rPr>
                <w:rFonts w:ascii="Times New Roman" w:hAnsi="Times New Roman"/>
                <w:b/>
                <w:i w:val="0"/>
                <w:sz w:val="17"/>
              </w:rPr>
              <w:t>% atletas com mudança confiável</w:t>
            </w:r>
          </w:p>
        </w:tc>
      </w:tr>
      <w:tr>
        <w:tc>
          <w:tcPr>
            <w:tcW w:type="dxa" w:w="2351"/>
          </w:tcPr>
          <w:p>
            <w:r>
              <w:rPr>
                <w:rFonts w:ascii="Times New Roman" w:hAnsi="Times New Roman"/>
                <w:b w:val="0"/>
                <w:i w:val="0"/>
                <w:sz w:val="17"/>
              </w:rPr>
              <w:t>Vigor</w:t>
            </w:r>
          </w:p>
        </w:tc>
        <w:tc>
          <w:tcPr>
            <w:tcW w:type="dxa" w:w="2351"/>
          </w:tcPr>
          <w:p>
            <w:r>
              <w:rPr>
                <w:rFonts w:ascii="Times New Roman" w:hAnsi="Times New Roman"/>
                <w:b w:val="0"/>
                <w:i w:val="0"/>
                <w:sz w:val="17"/>
              </w:rPr>
              <w:t>2,19</w:t>
            </w:r>
          </w:p>
        </w:tc>
        <w:tc>
          <w:tcPr>
            <w:tcW w:type="dxa" w:w="2351"/>
          </w:tcPr>
          <w:p>
            <w:r>
              <w:rPr>
                <w:rFonts w:ascii="Times New Roman" w:hAnsi="Times New Roman"/>
                <w:b w:val="0"/>
                <w:i w:val="0"/>
                <w:sz w:val="17"/>
              </w:rPr>
              <w:t>6,08</w:t>
            </w:r>
          </w:p>
        </w:tc>
        <w:tc>
          <w:tcPr>
            <w:tcW w:type="dxa" w:w="2351"/>
          </w:tcPr>
          <w:p>
            <w:r>
              <w:rPr>
                <w:rFonts w:ascii="Times New Roman" w:hAnsi="Times New Roman"/>
                <w:b w:val="0"/>
                <w:i w:val="0"/>
                <w:sz w:val="17"/>
              </w:rPr>
              <w:t>14%</w:t>
            </w:r>
          </w:p>
        </w:tc>
      </w:tr>
      <w:tr>
        <w:tc>
          <w:tcPr>
            <w:tcW w:type="dxa" w:w="2351"/>
          </w:tcPr>
          <w:p>
            <w:r>
              <w:rPr>
                <w:rFonts w:ascii="Times New Roman" w:hAnsi="Times New Roman"/>
                <w:b w:val="0"/>
                <w:i w:val="0"/>
                <w:sz w:val="17"/>
              </w:rPr>
              <w:t>Fadiga BRUMS</w:t>
            </w:r>
          </w:p>
        </w:tc>
        <w:tc>
          <w:tcPr>
            <w:tcW w:type="dxa" w:w="2351"/>
          </w:tcPr>
          <w:p>
            <w:r>
              <w:rPr>
                <w:rFonts w:ascii="Times New Roman" w:hAnsi="Times New Roman"/>
                <w:b w:val="0"/>
                <w:i w:val="0"/>
                <w:sz w:val="17"/>
              </w:rPr>
              <w:t>2,64</w:t>
            </w:r>
          </w:p>
        </w:tc>
        <w:tc>
          <w:tcPr>
            <w:tcW w:type="dxa" w:w="2351"/>
          </w:tcPr>
          <w:p>
            <w:r>
              <w:rPr>
                <w:rFonts w:ascii="Times New Roman" w:hAnsi="Times New Roman"/>
                <w:b w:val="0"/>
                <w:i w:val="0"/>
                <w:sz w:val="17"/>
              </w:rPr>
              <w:t>7,31</w:t>
            </w:r>
          </w:p>
        </w:tc>
        <w:tc>
          <w:tcPr>
            <w:tcW w:type="dxa" w:w="2351"/>
          </w:tcPr>
          <w:p>
            <w:r>
              <w:rPr>
                <w:rFonts w:ascii="Times New Roman" w:hAnsi="Times New Roman"/>
                <w:b w:val="0"/>
                <w:i w:val="0"/>
                <w:sz w:val="17"/>
              </w:rPr>
              <w:t>19%</w:t>
            </w:r>
          </w:p>
        </w:tc>
      </w:tr>
      <w:tr>
        <w:tc>
          <w:tcPr>
            <w:tcW w:type="dxa" w:w="2351"/>
          </w:tcPr>
          <w:p>
            <w:r>
              <w:rPr>
                <w:rFonts w:ascii="Times New Roman" w:hAnsi="Times New Roman"/>
                <w:b w:val="0"/>
                <w:i w:val="0"/>
                <w:sz w:val="17"/>
              </w:rPr>
              <w:t>Fadiga física</w:t>
            </w:r>
          </w:p>
        </w:tc>
        <w:tc>
          <w:tcPr>
            <w:tcW w:type="dxa" w:w="2351"/>
          </w:tcPr>
          <w:p>
            <w:r>
              <w:rPr>
                <w:rFonts w:ascii="Times New Roman" w:hAnsi="Times New Roman"/>
                <w:b w:val="0"/>
                <w:i w:val="0"/>
                <w:sz w:val="17"/>
              </w:rPr>
              <w:t>1,81</w:t>
            </w:r>
          </w:p>
        </w:tc>
        <w:tc>
          <w:tcPr>
            <w:tcW w:type="dxa" w:w="2351"/>
          </w:tcPr>
          <w:p>
            <w:r>
              <w:rPr>
                <w:rFonts w:ascii="Times New Roman" w:hAnsi="Times New Roman"/>
                <w:b w:val="0"/>
                <w:i w:val="0"/>
                <w:sz w:val="17"/>
              </w:rPr>
              <w:t>5,01</w:t>
            </w:r>
          </w:p>
        </w:tc>
        <w:tc>
          <w:tcPr>
            <w:tcW w:type="dxa" w:w="2351"/>
          </w:tcPr>
          <w:p>
            <w:r>
              <w:rPr>
                <w:rFonts w:ascii="Times New Roman" w:hAnsi="Times New Roman"/>
                <w:b w:val="0"/>
                <w:i w:val="0"/>
                <w:sz w:val="17"/>
              </w:rPr>
              <w:t>10%</w:t>
            </w:r>
          </w:p>
        </w:tc>
      </w:tr>
      <w:tr>
        <w:tc>
          <w:tcPr>
            <w:tcW w:type="dxa" w:w="2351"/>
          </w:tcPr>
          <w:p>
            <w:r>
              <w:rPr>
                <w:rFonts w:ascii="Times New Roman" w:hAnsi="Times New Roman"/>
                <w:b w:val="0"/>
                <w:i w:val="0"/>
                <w:sz w:val="17"/>
              </w:rPr>
              <w:t>Fadiga mental</w:t>
            </w:r>
          </w:p>
        </w:tc>
        <w:tc>
          <w:tcPr>
            <w:tcW w:type="dxa" w:w="2351"/>
          </w:tcPr>
          <w:p>
            <w:r>
              <w:rPr>
                <w:rFonts w:ascii="Times New Roman" w:hAnsi="Times New Roman"/>
                <w:b w:val="0"/>
                <w:i w:val="0"/>
                <w:sz w:val="17"/>
              </w:rPr>
              <w:t>1,59</w:t>
            </w:r>
          </w:p>
        </w:tc>
        <w:tc>
          <w:tcPr>
            <w:tcW w:type="dxa" w:w="2351"/>
          </w:tcPr>
          <w:p>
            <w:r>
              <w:rPr>
                <w:rFonts w:ascii="Times New Roman" w:hAnsi="Times New Roman"/>
                <w:b w:val="0"/>
                <w:i w:val="0"/>
                <w:sz w:val="17"/>
              </w:rPr>
              <w:t>4,42</w:t>
            </w:r>
          </w:p>
        </w:tc>
        <w:tc>
          <w:tcPr>
            <w:tcW w:type="dxa" w:w="2351"/>
          </w:tcPr>
          <w:p>
            <w:r>
              <w:rPr>
                <w:rFonts w:ascii="Times New Roman" w:hAnsi="Times New Roman"/>
                <w:b w:val="0"/>
                <w:i w:val="0"/>
                <w:sz w:val="17"/>
              </w:rPr>
              <w:t>0%</w:t>
            </w:r>
          </w:p>
        </w:tc>
      </w:tr>
      <w:tr>
        <w:tc>
          <w:tcPr>
            <w:tcW w:type="dxa" w:w="2351"/>
          </w:tcPr>
          <w:p>
            <w:r>
              <w:rPr>
                <w:rFonts w:ascii="Times New Roman" w:hAnsi="Times New Roman"/>
                <w:b w:val="0"/>
                <w:i w:val="0"/>
                <w:sz w:val="17"/>
              </w:rPr>
              <w:t>PTH/TMD</w:t>
            </w:r>
          </w:p>
        </w:tc>
        <w:tc>
          <w:tcPr>
            <w:tcW w:type="dxa" w:w="2351"/>
          </w:tcPr>
          <w:p>
            <w:r>
              <w:rPr>
                <w:rFonts w:ascii="Times New Roman" w:hAnsi="Times New Roman"/>
                <w:b w:val="0"/>
                <w:i w:val="0"/>
                <w:sz w:val="17"/>
              </w:rPr>
              <w:t>6,47</w:t>
            </w:r>
          </w:p>
        </w:tc>
        <w:tc>
          <w:tcPr>
            <w:tcW w:type="dxa" w:w="2351"/>
          </w:tcPr>
          <w:p>
            <w:r>
              <w:rPr>
                <w:rFonts w:ascii="Times New Roman" w:hAnsi="Times New Roman"/>
                <w:b w:val="0"/>
                <w:i w:val="0"/>
                <w:sz w:val="17"/>
              </w:rPr>
              <w:t>17,92</w:t>
            </w:r>
          </w:p>
        </w:tc>
        <w:tc>
          <w:tcPr>
            <w:tcW w:type="dxa" w:w="2351"/>
          </w:tcPr>
          <w:p>
            <w:r>
              <w:rPr>
                <w:rFonts w:ascii="Times New Roman" w:hAnsi="Times New Roman"/>
                <w:b w:val="0"/>
                <w:i w:val="0"/>
                <w:sz w:val="17"/>
              </w:rPr>
              <w:t>14%</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No nível individual, a proporção de atletas cuja mudança da linha de base ao último dia supera o limiar de ruído (|RCI| &gt; 1,96) é baixa — fadiga do BRUMS 19%, vigor e PTH 14%, fadiga física 10% e fadiga mental 0% —, o que confirma, por um índice per capita, que uma única coleta é insuficiente para a decisão individual confiável, reforçando o uso de médias de coletas. Por fim, a análise de componentes principais das seis subescalas (Gráfico 10) mostra que o humor é essencialmente bidimensional: o primeiro componente explica 40% e o segundo 23% da variância (63% acumulados), correspondendo ao eixo energia–fadiga e a um eixo de afeto negativo — ou seja, o "sinal" do humor concentra-se em poucas dimensões, e o monitoramento pode focar-se nelas.</w:t>
      </w:r>
    </w:p>
    <w:p>
      <w:pPr>
        <w:spacing w:before="120" w:line="240" w:lineRule="auto"/>
        <w:jc w:val="center"/>
      </w:pPr>
      <w:r>
        <w:rPr>
          <w:rFonts w:ascii="Times New Roman" w:hAnsi="Times New Roman"/>
          <w:b w:val="0"/>
          <w:i w:val="0"/>
          <w:sz w:val="20"/>
        </w:rPr>
        <w:t>Gráfico 10 – Variância explicada pelos componentes principais das seis subescalas do BRUMS (barras) e variância acumulada (linha)</w:t>
      </w:r>
    </w:p>
    <w:p>
      <w:pPr>
        <w:jc w:val="center"/>
      </w:pPr>
      <w:r>
        <w:drawing>
          <wp:inline xmlns:a="http://schemas.openxmlformats.org/drawingml/2006/main" xmlns:pic="http://schemas.openxmlformats.org/drawingml/2006/picture">
            <wp:extent cx="4572000" cy="2571750"/>
            <wp:docPr id="17" name="Picture 17"/>
            <wp:cNvGraphicFramePr>
              <a:graphicFrameLocks noChangeAspect="1"/>
            </wp:cNvGraphicFramePr>
            <a:graphic>
              <a:graphicData uri="http://schemas.openxmlformats.org/drawingml/2006/picture">
                <pic:pic>
                  <pic:nvPicPr>
                    <pic:cNvPr id="0" name="x_pca.png"/>
                    <pic:cNvPicPr/>
                  </pic:nvPicPr>
                  <pic:blipFill>
                    <a:blip r:embed="rId25"/>
                    <a:stretch>
                      <a:fillRect/>
                    </a:stretch>
                  </pic:blipFill>
                  <pic:spPr>
                    <a:xfrm>
                      <a:off x="0" y="0"/>
                      <a:ext cx="4572000" cy="257175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4.10 Confiabilidade interna das subescalas (α de Cronbach e ω de McDonald)</w:t>
      </w:r>
    </w:p>
    <w:p>
      <w:pPr>
        <w:spacing w:before="120" w:line="240" w:lineRule="auto"/>
        <w:jc w:val="left"/>
      </w:pPr>
      <w:r>
        <w:rPr>
          <w:rFonts w:ascii="Times New Roman" w:hAnsi="Times New Roman"/>
          <w:b w:val="0"/>
          <w:i w:val="0"/>
          <w:sz w:val="20"/>
        </w:rPr>
        <w:t>Tabela 13 – Confiabilidade (consistência interna) das seis subescalas do BRUMS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Subescala</w:t>
            </w:r>
          </w:p>
        </w:tc>
        <w:tc>
          <w:tcPr>
            <w:tcW w:type="dxa" w:w="1881"/>
          </w:tcPr>
          <w:p>
            <w:r>
              <w:rPr>
                <w:rFonts w:ascii="Times New Roman" w:hAnsi="Times New Roman"/>
                <w:b/>
                <w:i w:val="0"/>
                <w:sz w:val="17"/>
              </w:rPr>
              <w:t>Nº itens</w:t>
            </w:r>
          </w:p>
        </w:tc>
        <w:tc>
          <w:tcPr>
            <w:tcW w:type="dxa" w:w="1881"/>
          </w:tcPr>
          <w:p>
            <w:r>
              <w:rPr>
                <w:rFonts w:ascii="Times New Roman" w:hAnsi="Times New Roman"/>
                <w:b/>
                <w:i w:val="0"/>
                <w:sz w:val="17"/>
              </w:rPr>
              <w:t>α de Cronbach</w:t>
            </w:r>
          </w:p>
        </w:tc>
        <w:tc>
          <w:tcPr>
            <w:tcW w:type="dxa" w:w="1881"/>
          </w:tcPr>
          <w:p>
            <w:r>
              <w:rPr>
                <w:rFonts w:ascii="Times New Roman" w:hAnsi="Times New Roman"/>
                <w:b/>
                <w:i w:val="0"/>
                <w:sz w:val="17"/>
              </w:rPr>
              <w:t>ω de McDonald</w:t>
            </w:r>
          </w:p>
        </w:tc>
        <w:tc>
          <w:tcPr>
            <w:tcW w:type="dxa" w:w="1881"/>
          </w:tcPr>
          <w:p>
            <w:r>
              <w:rPr>
                <w:rFonts w:ascii="Times New Roman" w:hAnsi="Times New Roman"/>
                <w:b/>
                <w:i w:val="0"/>
                <w:sz w:val="17"/>
              </w:rPr>
              <w:t>r̄ inter-itens</w:t>
            </w:r>
          </w:p>
        </w:tc>
      </w:tr>
      <w:tr>
        <w:tc>
          <w:tcPr>
            <w:tcW w:type="dxa" w:w="1881"/>
          </w:tcPr>
          <w:p>
            <w:r>
              <w:rPr>
                <w:rFonts w:ascii="Times New Roman" w:hAnsi="Times New Roman"/>
                <w:b w:val="0"/>
                <w:i w:val="0"/>
                <w:sz w:val="17"/>
              </w:rPr>
              <w:t>Tensão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0,43</w:t>
            </w:r>
          </w:p>
        </w:tc>
        <w:tc>
          <w:tcPr>
            <w:tcW w:type="dxa" w:w="1881"/>
          </w:tcPr>
          <w:p>
            <w:r>
              <w:rPr>
                <w:rFonts w:ascii="Times New Roman" w:hAnsi="Times New Roman"/>
                <w:b w:val="0"/>
                <w:i w:val="0"/>
                <w:sz w:val="17"/>
              </w:rPr>
              <w:t>0,69</w:t>
            </w:r>
          </w:p>
        </w:tc>
        <w:tc>
          <w:tcPr>
            <w:tcW w:type="dxa" w:w="1881"/>
          </w:tcPr>
          <w:p>
            <w:r>
              <w:rPr>
                <w:rFonts w:ascii="Times New Roman" w:hAnsi="Times New Roman"/>
                <w:b w:val="0"/>
                <w:i w:val="0"/>
                <w:sz w:val="17"/>
              </w:rPr>
              <w:t>0,16</w:t>
            </w:r>
          </w:p>
        </w:tc>
      </w:tr>
      <w:tr>
        <w:tc>
          <w:tcPr>
            <w:tcW w:type="dxa" w:w="1881"/>
          </w:tcPr>
          <w:p>
            <w:r>
              <w:rPr>
                <w:rFonts w:ascii="Times New Roman" w:hAnsi="Times New Roman"/>
                <w:b w:val="0"/>
                <w:i w:val="0"/>
                <w:sz w:val="17"/>
              </w:rPr>
              <w:t>Depressão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0,85</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0,63</w:t>
            </w:r>
          </w:p>
        </w:tc>
      </w:tr>
      <w:tr>
        <w:tc>
          <w:tcPr>
            <w:tcW w:type="dxa" w:w="1881"/>
          </w:tcPr>
          <w:p>
            <w:r>
              <w:rPr>
                <w:rFonts w:ascii="Times New Roman" w:hAnsi="Times New Roman"/>
                <w:b w:val="0"/>
                <w:i w:val="0"/>
                <w:sz w:val="17"/>
              </w:rPr>
              <w:t>Raiva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0,91</w:t>
            </w:r>
          </w:p>
        </w:tc>
        <w:tc>
          <w:tcPr>
            <w:tcW w:type="dxa" w:w="1881"/>
          </w:tcPr>
          <w:p>
            <w:r>
              <w:rPr>
                <w:rFonts w:ascii="Times New Roman" w:hAnsi="Times New Roman"/>
                <w:b w:val="0"/>
                <w:i w:val="0"/>
                <w:sz w:val="17"/>
              </w:rPr>
              <w:t>0,62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0,68</w:t>
            </w:r>
          </w:p>
        </w:tc>
        <w:tc>
          <w:tcPr>
            <w:tcW w:type="dxa" w:w="1881"/>
          </w:tcPr>
          <w:p>
            <w:r>
              <w:rPr>
                <w:rFonts w:ascii="Times New Roman" w:hAnsi="Times New Roman"/>
                <w:b w:val="0"/>
                <w:i w:val="0"/>
                <w:sz w:val="17"/>
              </w:rPr>
              <w:t>0,83</w:t>
            </w:r>
          </w:p>
        </w:tc>
        <w:tc>
          <w:tcPr>
            <w:tcW w:type="dxa" w:w="1881"/>
          </w:tcPr>
          <w:p>
            <w:r>
              <w:rPr>
                <w:rFonts w:ascii="Times New Roman" w:hAnsi="Times New Roman"/>
                <w:b w:val="0"/>
                <w:i w:val="0"/>
                <w:sz w:val="17"/>
              </w:rPr>
              <w:t>0,38</w:t>
            </w:r>
          </w:p>
        </w:tc>
      </w:tr>
      <w:tr>
        <w:tc>
          <w:tcPr>
            <w:tcW w:type="dxa" w:w="1881"/>
          </w:tcPr>
          <w:p>
            <w:r>
              <w:rPr>
                <w:rFonts w:ascii="Times New Roman" w:hAnsi="Times New Roman"/>
                <w:b w:val="0"/>
                <w:i w:val="0"/>
                <w:sz w:val="17"/>
              </w:rPr>
              <w:t>Fadiga</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0,80</w:t>
            </w:r>
          </w:p>
        </w:tc>
        <w:tc>
          <w:tcPr>
            <w:tcW w:type="dxa" w:w="1881"/>
          </w:tcPr>
          <w:p>
            <w:r>
              <w:rPr>
                <w:rFonts w:ascii="Times New Roman" w:hAnsi="Times New Roman"/>
                <w:b w:val="0"/>
                <w:i w:val="0"/>
                <w:sz w:val="17"/>
              </w:rPr>
              <w:t>0,87</w:t>
            </w:r>
          </w:p>
        </w:tc>
        <w:tc>
          <w:tcPr>
            <w:tcW w:type="dxa" w:w="1881"/>
          </w:tcPr>
          <w:p>
            <w:r>
              <w:rPr>
                <w:rFonts w:ascii="Times New Roman" w:hAnsi="Times New Roman"/>
                <w:b w:val="0"/>
                <w:i w:val="0"/>
                <w:sz w:val="17"/>
              </w:rPr>
              <w:t>0,47</w:t>
            </w:r>
          </w:p>
        </w:tc>
      </w:tr>
      <w:tr>
        <w:tc>
          <w:tcPr>
            <w:tcW w:type="dxa" w:w="1881"/>
          </w:tcPr>
          <w:p>
            <w:r>
              <w:rPr>
                <w:rFonts w:ascii="Times New Roman" w:hAnsi="Times New Roman"/>
                <w:b w:val="0"/>
                <w:i w:val="0"/>
                <w:sz w:val="17"/>
              </w:rPr>
              <w:t>Confusão</w:t>
            </w:r>
          </w:p>
        </w:tc>
        <w:tc>
          <w:tcPr>
            <w:tcW w:type="dxa" w:w="1881"/>
          </w:tcPr>
          <w:p>
            <w:r>
              <w:rPr>
                <w:rFonts w:ascii="Times New Roman" w:hAnsi="Times New Roman"/>
                <w:b w:val="0"/>
                <w:i w:val="0"/>
                <w:sz w:val="17"/>
              </w:rPr>
              <w:t>4</w:t>
            </w:r>
          </w:p>
        </w:tc>
        <w:tc>
          <w:tcPr>
            <w:tcW w:type="dxa" w:w="1881"/>
          </w:tcPr>
          <w:p>
            <w:r>
              <w:rPr>
                <w:rFonts w:ascii="Times New Roman" w:hAnsi="Times New Roman"/>
                <w:b w:val="0"/>
                <w:i w:val="0"/>
                <w:sz w:val="17"/>
              </w:rPr>
              <w:t>0,65</w:t>
            </w:r>
          </w:p>
        </w:tc>
        <w:tc>
          <w:tcPr>
            <w:tcW w:type="dxa" w:w="1881"/>
          </w:tcPr>
          <w:p>
            <w:r>
              <w:rPr>
                <w:rFonts w:ascii="Times New Roman" w:hAnsi="Times New Roman"/>
                <w:b w:val="0"/>
                <w:i w:val="0"/>
                <w:sz w:val="17"/>
              </w:rPr>
              <w:t>0,79</w:t>
            </w:r>
          </w:p>
        </w:tc>
        <w:tc>
          <w:tcPr>
            <w:tcW w:type="dxa" w:w="1881"/>
          </w:tcPr>
          <w:p>
            <w:r>
              <w:rPr>
                <w:rFonts w:ascii="Times New Roman" w:hAnsi="Times New Roman"/>
                <w:b w:val="0"/>
                <w:i w:val="0"/>
                <w:sz w:val="17"/>
              </w:rPr>
              <w:t>0,32</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consistência interna das subescalas foi, em geral, adequada a boa, com o ω de McDonald — estimador menos enviesado que o α para poucos itens — variando de 0,69 a 0,91: excelente para depressão (0,91), raiva (0,91) e fadiga (0,87), e boa para vigor (0,83), confusão (0,79) e mesmo tensão (0,69). O α de Cronbach acompanha esse padrão, exceto na tensão (α = 0,43), cujo valor é rebaixado não por falha do construto, mas pelo forte efeito de piso (baixa variância e baixa correlação média inter-itens, r̄ = 0,16), como se vê ao contrastá-lo com o ω. Em conjunto, os escores das subescalas são suficientemente fidedignos para o monitoramento, com a ressalva de que a tensão deve ser lida com cautela neste contexto.</w:t>
      </w:r>
    </w:p>
    <w:p>
      <w:pPr>
        <w:spacing w:before="120" w:after="40"/>
        <w:jc w:val="left"/>
      </w:pPr>
      <w:r>
        <w:rPr>
          <w:rFonts w:ascii="Times New Roman" w:hAnsi="Times New Roman"/>
          <w:b/>
          <w:i w:val="0"/>
          <w:sz w:val="24"/>
        </w:rPr>
        <w:t>4.11 Modelo misto multivariado do eixo energia–fadiga</w:t>
      </w:r>
    </w:p>
    <w:p>
      <w:pPr>
        <w:spacing w:line="360" w:lineRule="auto"/>
        <w:ind w:firstLine="709"/>
        <w:jc w:val="both"/>
      </w:pPr>
      <w:r>
        <w:rPr>
          <w:rFonts w:ascii="Times New Roman" w:hAnsi="Times New Roman"/>
          <w:b w:val="0"/>
          <w:i w:val="0"/>
          <w:sz w:val="24"/>
        </w:rPr>
        <w:t>O eixo energia–fadiga foi modelado conjuntamente (vigor, fadiga do BRUMS, fadiga física e fadiga mental; a PTH foi excluída por ser derivada dessas dimensões). A estrutura entre-atletas (Figura 7) confirma o eixo como dimensão de traço: o vigor correlaciona-se negativamente com as três fadigas (r = −0,27 a −0,38), enquanto a fadiga do BRUMS e a fadiga física correlacionam-se fortemente entre si (r = +0,74) — atletas mais fatigados numa dimensão tendem a sê-lo nas demais.</w:t>
      </w:r>
    </w:p>
    <w:p>
      <w:pPr>
        <w:spacing w:before="120" w:line="240" w:lineRule="auto"/>
        <w:jc w:val="center"/>
      </w:pPr>
      <w:r>
        <w:rPr>
          <w:rFonts w:ascii="Times New Roman" w:hAnsi="Times New Roman"/>
          <w:b w:val="0"/>
          <w:i w:val="0"/>
          <w:sz w:val="20"/>
        </w:rPr>
        <w:t>Figura 8 – Correlações entre-atletas (nível de traço) das quatro variáveis do eixo energia–fadiga</w:t>
      </w:r>
    </w:p>
    <w:p>
      <w:pPr>
        <w:jc w:val="center"/>
      </w:pPr>
      <w:r>
        <w:drawing>
          <wp:inline xmlns:a="http://schemas.openxmlformats.org/drawingml/2006/main" xmlns:pic="http://schemas.openxmlformats.org/drawingml/2006/picture">
            <wp:extent cx="4389120" cy="3657600"/>
            <wp:docPr id="18" name="Picture 18"/>
            <wp:cNvGraphicFramePr>
              <a:graphicFrameLocks noChangeAspect="1"/>
            </wp:cNvGraphicFramePr>
            <a:graphic>
              <a:graphicData uri="http://schemas.openxmlformats.org/drawingml/2006/picture">
                <pic:pic>
                  <pic:nvPicPr>
                    <pic:cNvPr id="0" name="x_trait_corr.png"/>
                    <pic:cNvPicPr/>
                  </pic:nvPicPr>
                  <pic:blipFill>
                    <a:blip r:embed="rId26"/>
                    <a:stretch>
                      <a:fillRect/>
                    </a:stretch>
                  </pic:blipFill>
                  <pic:spPr>
                    <a:xfrm>
                      <a:off x="0" y="0"/>
                      <a:ext cx="4389120" cy="365760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line="240" w:lineRule="auto"/>
        <w:jc w:val="left"/>
      </w:pPr>
      <w:r>
        <w:rPr>
          <w:rFonts w:ascii="Times New Roman" w:hAnsi="Times New Roman"/>
          <w:b w:val="0"/>
          <w:i w:val="0"/>
          <w:sz w:val="20"/>
        </w:rPr>
        <w:t>Tabela 14 – Testes multivariados do efeito do microciclo sobre o eixo energia–fadiga (quatro variáveis conjuntas)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Teste</w:t>
            </w:r>
          </w:p>
        </w:tc>
        <w:tc>
          <w:tcPr>
            <w:tcW w:type="dxa" w:w="3135"/>
          </w:tcPr>
          <w:p>
            <w:r>
              <w:rPr>
                <w:rFonts w:ascii="Times New Roman" w:hAnsi="Times New Roman"/>
                <w:b/>
                <w:i w:val="0"/>
                <w:sz w:val="17"/>
              </w:rPr>
              <w:t>Estatística</w:t>
            </w:r>
          </w:p>
        </w:tc>
        <w:tc>
          <w:tcPr>
            <w:tcW w:type="dxa" w:w="3135"/>
          </w:tcPr>
          <w:p>
            <w:r>
              <w:rPr>
                <w:rFonts w:ascii="Times New Roman" w:hAnsi="Times New Roman"/>
                <w:b/>
                <w:i w:val="0"/>
                <w:sz w:val="17"/>
              </w:rPr>
              <w:t>p</w:t>
            </w:r>
          </w:p>
        </w:tc>
      </w:tr>
      <w:tr>
        <w:tc>
          <w:tcPr>
            <w:tcW w:type="dxa" w:w="3135"/>
          </w:tcPr>
          <w:p>
            <w:r>
              <w:rPr>
                <w:rFonts w:ascii="Times New Roman" w:hAnsi="Times New Roman"/>
                <w:b w:val="0"/>
                <w:i w:val="0"/>
                <w:sz w:val="17"/>
              </w:rPr>
              <w:t>Modelo misto multivariado — efeito conjunto do dia (LRT)</w:t>
            </w:r>
          </w:p>
        </w:tc>
        <w:tc>
          <w:tcPr>
            <w:tcW w:type="dxa" w:w="3135"/>
          </w:tcPr>
          <w:p>
            <w:r>
              <w:rPr>
                <w:rFonts w:ascii="Times New Roman" w:hAnsi="Times New Roman"/>
                <w:b w:val="0"/>
                <w:i w:val="0"/>
                <w:sz w:val="17"/>
              </w:rPr>
              <w:t>χ²(4) = 109,1</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Hotelling T² — Dia 1 vs Dia 7 (multivariado pareado)</w:t>
            </w:r>
          </w:p>
        </w:tc>
        <w:tc>
          <w:tcPr>
            <w:tcW w:type="dxa" w:w="3135"/>
          </w:tcPr>
          <w:p>
            <w:r>
              <w:rPr>
                <w:rFonts w:ascii="Times New Roman" w:hAnsi="Times New Roman"/>
                <w:b w:val="0"/>
                <w:i w:val="0"/>
                <w:sz w:val="17"/>
              </w:rPr>
              <w:t>F(4,17) = 18,17</w:t>
            </w:r>
          </w:p>
        </w:tc>
        <w:tc>
          <w:tcPr>
            <w:tcW w:type="dxa" w:w="3135"/>
          </w:tcPr>
          <w:p>
            <w:r>
              <w:rPr>
                <w:rFonts w:ascii="Times New Roman" w:hAnsi="Times New Roman"/>
                <w:b w:val="0"/>
                <w:i w:val="0"/>
                <w:sz w:val="17"/>
              </w:rPr>
              <w:t>p &lt; 0,001</w:t>
            </w:r>
          </w:p>
        </w:tc>
      </w:tr>
      <w:tr>
        <w:tc>
          <w:tcPr>
            <w:tcW w:type="dxa" w:w="3135"/>
          </w:tcPr>
          <w:p>
            <w:r>
              <w:rPr>
                <w:rFonts w:ascii="Times New Roman" w:hAnsi="Times New Roman"/>
                <w:b w:val="0"/>
                <w:i w:val="0"/>
                <w:sz w:val="17"/>
              </w:rPr>
              <w:t>Tamanho de efeito multivariado — D de Mahalanobis (D1→D7)</w:t>
            </w:r>
          </w:p>
        </w:tc>
        <w:tc>
          <w:tcPr>
            <w:tcW w:type="dxa" w:w="3135"/>
          </w:tcPr>
          <w:p>
            <w:r>
              <w:rPr>
                <w:rFonts w:ascii="Times New Roman" w:hAnsi="Times New Roman"/>
                <w:b w:val="0"/>
                <w:i w:val="0"/>
                <w:sz w:val="17"/>
              </w:rPr>
              <w:t>D = 2,02</w:t>
            </w:r>
          </w:p>
        </w:tc>
        <w:tc>
          <w:tcPr>
            <w:tcW w:type="dxa" w:w="3135"/>
          </w:tcPr>
          <w:p>
            <w:r>
              <w:rPr>
                <w:rFonts w:ascii="Times New Roman" w:hAnsi="Times New Roman"/>
                <w:b w:val="0"/>
                <w:i w:val="0"/>
                <w:sz w:val="17"/>
              </w:rPr>
              <w:t>—</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O modelo misto multivariado — que ajusta as quatro variáveis conjuntamente, com efeitos aleatórios de atleta — indica um efeito do dia altamente significativo sobre o perfil como um todo (razão de verossimilhança χ²(4) = 109,1; p ≈ 10⁻²²), confirmando que a deterioração é um deslocamento coordenado do vetor de humor, e não fruto de uma variável isolada. A comparação multivariada da linha de base ao último dia (Hotelling T²) é igualmente significativa (F(4,17) = 18,17; p &lt; 0,001), com tamanho de efeito multivariado muito grande (D de Mahalanobis = 2,02) — magnitude que integra, num único índice, o afastamento conjunto do vigor e das fadigas entre o início e o fim da semana.</w:t>
      </w:r>
    </w:p>
    <w:p>
      <w:pPr>
        <w:spacing w:before="120" w:after="40"/>
        <w:jc w:val="left"/>
      </w:pPr>
      <w:r>
        <w:rPr>
          <w:rFonts w:ascii="Times New Roman" w:hAnsi="Times New Roman"/>
          <w:b/>
          <w:i w:val="0"/>
          <w:sz w:val="24"/>
        </w:rPr>
        <w:t>4.12 Acoplamento intra-atleta das variáveis (correlação de medidas repetidas, rmcorr)</w:t>
      </w:r>
    </w:p>
    <w:p>
      <w:pPr>
        <w:spacing w:line="360" w:lineRule="auto"/>
        <w:ind w:firstLine="709"/>
        <w:jc w:val="both"/>
      </w:pPr>
      <w:r>
        <w:rPr>
          <w:rFonts w:ascii="Times New Roman" w:hAnsi="Times New Roman"/>
          <w:b w:val="0"/>
          <w:i w:val="0"/>
          <w:sz w:val="24"/>
        </w:rPr>
        <w:t>Enquanto a correlação entre-atletas (Figura 7) descreve como os atletas se ordenam entre si, a correlação de medidas repetidas (rmcorr) descreve como as variáveis co-variam dentro de cada atleta ao longo da semana, removendo as diferenças de nível entre indivíduos. A matriz rmcorr (Figura 8) confirma o eixo energia–fadiga também no nível intraindividual: quando um atleta piora, o vigor cai e as fadigas sobem de forma acoplada — o vigor correlaciona-se negativamente com a fadiga do BRUMS (rmcorr = −0,48), a fadiga física (−0,50) e a PTH (−0,59), enquanto a fadiga do BRUMS e a fadiga física sobem juntas (rmcorr = +0,65) e ambas acompanham a PTH (+0,72 e +0,51). Esse acoplamento intraindividual reforça que o monitoramento de qualquer marcador do eixo captura, em boa parte, a mesma informação de estado.</w:t>
      </w:r>
    </w:p>
    <w:p>
      <w:pPr>
        <w:spacing w:before="120" w:line="240" w:lineRule="auto"/>
        <w:jc w:val="center"/>
      </w:pPr>
      <w:r>
        <w:rPr>
          <w:rFonts w:ascii="Times New Roman" w:hAnsi="Times New Roman"/>
          <w:b w:val="0"/>
          <w:i w:val="0"/>
          <w:sz w:val="20"/>
        </w:rPr>
        <w:t>Figura 9 – Matriz de correlação intra-atleta (rmcorr) entre as variáveis do eixo energia–fadiga</w:t>
      </w:r>
    </w:p>
    <w:p>
      <w:pPr>
        <w:jc w:val="center"/>
      </w:pPr>
      <w:r>
        <w:drawing>
          <wp:inline xmlns:a="http://schemas.openxmlformats.org/drawingml/2006/main" xmlns:pic="http://schemas.openxmlformats.org/drawingml/2006/picture">
            <wp:extent cx="4389120" cy="3686861"/>
            <wp:docPr id="19" name="Picture 19"/>
            <wp:cNvGraphicFramePr>
              <a:graphicFrameLocks noChangeAspect="1"/>
            </wp:cNvGraphicFramePr>
            <a:graphic>
              <a:graphicData uri="http://schemas.openxmlformats.org/drawingml/2006/picture">
                <pic:pic>
                  <pic:nvPicPr>
                    <pic:cNvPr id="0" name="x_rmcorr.png"/>
                    <pic:cNvPicPr/>
                  </pic:nvPicPr>
                  <pic:blipFill>
                    <a:blip r:embed="rId27"/>
                    <a:stretch>
                      <a:fillRect/>
                    </a:stretch>
                  </pic:blipFill>
                  <pic:spPr>
                    <a:xfrm>
                      <a:off x="0" y="0"/>
                      <a:ext cx="4389120" cy="3686861"/>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4.13 Análise fatorial confirmatória da estrutura de seis fatores do BRUMS</w:t>
      </w:r>
    </w:p>
    <w:p>
      <w:pPr>
        <w:spacing w:before="120" w:line="240" w:lineRule="auto"/>
        <w:jc w:val="left"/>
      </w:pPr>
      <w:r>
        <w:rPr>
          <w:rFonts w:ascii="Times New Roman" w:hAnsi="Times New Roman"/>
          <w:b w:val="0"/>
          <w:i w:val="0"/>
          <w:sz w:val="20"/>
        </w:rPr>
        <w:t>Tabela 15 – Índices de ajuste da análise fatorial confirmatória do modelo de seis fatores do BRUMS (24 itens; estimação por máxima verossimilhança)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Índice</w:t>
            </w:r>
          </w:p>
        </w:tc>
        <w:tc>
          <w:tcPr>
            <w:tcW w:type="dxa" w:w="3135"/>
          </w:tcPr>
          <w:p>
            <w:r>
              <w:rPr>
                <w:rFonts w:ascii="Times New Roman" w:hAnsi="Times New Roman"/>
                <w:b/>
                <w:i w:val="0"/>
                <w:sz w:val="17"/>
              </w:rPr>
              <w:t>Valor</w:t>
            </w:r>
          </w:p>
        </w:tc>
        <w:tc>
          <w:tcPr>
            <w:tcW w:type="dxa" w:w="3135"/>
          </w:tcPr>
          <w:p>
            <w:r>
              <w:rPr>
                <w:rFonts w:ascii="Times New Roman" w:hAnsi="Times New Roman"/>
                <w:b/>
                <w:i w:val="0"/>
                <w:sz w:val="17"/>
              </w:rPr>
              <w:t>Referência</w:t>
            </w:r>
          </w:p>
        </w:tc>
      </w:tr>
      <w:tr>
        <w:tc>
          <w:tcPr>
            <w:tcW w:type="dxa" w:w="3135"/>
          </w:tcPr>
          <w:p>
            <w:r>
              <w:rPr>
                <w:rFonts w:ascii="Times New Roman" w:hAnsi="Times New Roman"/>
                <w:b w:val="0"/>
                <w:i w:val="0"/>
                <w:sz w:val="17"/>
              </w:rPr>
              <w:t>χ² (df)</w:t>
            </w:r>
          </w:p>
        </w:tc>
        <w:tc>
          <w:tcPr>
            <w:tcW w:type="dxa" w:w="3135"/>
          </w:tcPr>
          <w:p>
            <w:r>
              <w:rPr>
                <w:rFonts w:ascii="Times New Roman" w:hAnsi="Times New Roman"/>
                <w:b w:val="0"/>
                <w:i w:val="0"/>
                <w:sz w:val="17"/>
              </w:rPr>
              <w:t>923 (237)</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CFI</w:t>
            </w:r>
          </w:p>
        </w:tc>
        <w:tc>
          <w:tcPr>
            <w:tcW w:type="dxa" w:w="3135"/>
          </w:tcPr>
          <w:p>
            <w:r>
              <w:rPr>
                <w:rFonts w:ascii="Times New Roman" w:hAnsi="Times New Roman"/>
                <w:b w:val="0"/>
                <w:i w:val="0"/>
                <w:sz w:val="17"/>
              </w:rPr>
              <w:t>0,864</w:t>
            </w:r>
          </w:p>
        </w:tc>
        <w:tc>
          <w:tcPr>
            <w:tcW w:type="dxa" w:w="3135"/>
          </w:tcPr>
          <w:p>
            <w:r>
              <w:rPr>
                <w:rFonts w:ascii="Times New Roman" w:hAnsi="Times New Roman"/>
                <w:b w:val="0"/>
                <w:i w:val="0"/>
                <w:sz w:val="17"/>
              </w:rPr>
              <w:t>≥ 0,90 (aceitável); ≥ 0,95 (bom)</w:t>
            </w:r>
          </w:p>
        </w:tc>
      </w:tr>
      <w:tr>
        <w:tc>
          <w:tcPr>
            <w:tcW w:type="dxa" w:w="3135"/>
          </w:tcPr>
          <w:p>
            <w:r>
              <w:rPr>
                <w:rFonts w:ascii="Times New Roman" w:hAnsi="Times New Roman"/>
                <w:b w:val="0"/>
                <w:i w:val="0"/>
                <w:sz w:val="17"/>
              </w:rPr>
              <w:t>TLI</w:t>
            </w:r>
          </w:p>
        </w:tc>
        <w:tc>
          <w:tcPr>
            <w:tcW w:type="dxa" w:w="3135"/>
          </w:tcPr>
          <w:p>
            <w:r>
              <w:rPr>
                <w:rFonts w:ascii="Times New Roman" w:hAnsi="Times New Roman"/>
                <w:b w:val="0"/>
                <w:i w:val="0"/>
                <w:sz w:val="17"/>
              </w:rPr>
              <w:t>0,842</w:t>
            </w:r>
          </w:p>
        </w:tc>
        <w:tc>
          <w:tcPr>
            <w:tcW w:type="dxa" w:w="3135"/>
          </w:tcPr>
          <w:p>
            <w:r>
              <w:rPr>
                <w:rFonts w:ascii="Times New Roman" w:hAnsi="Times New Roman"/>
                <w:b w:val="0"/>
                <w:i w:val="0"/>
                <w:sz w:val="17"/>
              </w:rPr>
              <w:t>≥ 0,90</w:t>
            </w:r>
          </w:p>
        </w:tc>
      </w:tr>
      <w:tr>
        <w:tc>
          <w:tcPr>
            <w:tcW w:type="dxa" w:w="3135"/>
          </w:tcPr>
          <w:p>
            <w:r>
              <w:rPr>
                <w:rFonts w:ascii="Times New Roman" w:hAnsi="Times New Roman"/>
                <w:b w:val="0"/>
                <w:i w:val="0"/>
                <w:sz w:val="17"/>
              </w:rPr>
              <w:t>RMSEA</w:t>
            </w:r>
          </w:p>
        </w:tc>
        <w:tc>
          <w:tcPr>
            <w:tcW w:type="dxa" w:w="3135"/>
          </w:tcPr>
          <w:p>
            <w:r>
              <w:rPr>
                <w:rFonts w:ascii="Times New Roman" w:hAnsi="Times New Roman"/>
                <w:b w:val="0"/>
                <w:i w:val="0"/>
                <w:sz w:val="17"/>
              </w:rPr>
              <w:t>0,080</w:t>
            </w:r>
          </w:p>
        </w:tc>
        <w:tc>
          <w:tcPr>
            <w:tcW w:type="dxa" w:w="3135"/>
          </w:tcPr>
          <w:p>
            <w:r>
              <w:rPr>
                <w:rFonts w:ascii="Times New Roman" w:hAnsi="Times New Roman"/>
                <w:b w:val="0"/>
                <w:i w:val="0"/>
                <w:sz w:val="17"/>
              </w:rPr>
              <w:t>≤ 0,08 (aceitável); ≤ 0,06 (bom)</w:t>
            </w:r>
          </w:p>
        </w:tc>
      </w:tr>
      <w:tr>
        <w:tc>
          <w:tcPr>
            <w:tcW w:type="dxa" w:w="3135"/>
          </w:tcPr>
          <w:p>
            <w:r>
              <w:rPr>
                <w:rFonts w:ascii="Times New Roman" w:hAnsi="Times New Roman"/>
                <w:b w:val="0"/>
                <w:i w:val="0"/>
                <w:sz w:val="17"/>
              </w:rPr>
              <w:t>SRMR</w:t>
            </w:r>
          </w:p>
        </w:tc>
        <w:tc>
          <w:tcPr>
            <w:tcW w:type="dxa" w:w="3135"/>
          </w:tcPr>
          <w:p>
            <w:r>
              <w:rPr>
                <w:rFonts w:ascii="Times New Roman" w:hAnsi="Times New Roman"/>
                <w:b w:val="0"/>
                <w:i w:val="0"/>
                <w:sz w:val="17"/>
              </w:rPr>
              <w:t>0,084</w:t>
            </w:r>
          </w:p>
        </w:tc>
        <w:tc>
          <w:tcPr>
            <w:tcW w:type="dxa" w:w="3135"/>
          </w:tcPr>
          <w:p>
            <w:r>
              <w:rPr>
                <w:rFonts w:ascii="Times New Roman" w:hAnsi="Times New Roman"/>
                <w:b w:val="0"/>
                <w:i w:val="0"/>
                <w:sz w:val="17"/>
              </w:rPr>
              <w:t>≤ 0,08</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análise fatorial confirmatória testou a estrutura hipotetizada de seis fatores correlacionados (cada subescala com quatro itens). O ajuste foi aceitável, ainda que limítrofe: RMSEA = 0,080 e SRMR = 0,084 nos limiares de aceitação, com CFI = 0,86 e TLI = 0,84 pouco abaixo do valor de referência de 0,90. As cargas padronizadas foram, em geral, elevadas (depressão 0,71–0,87; raiva 0,71–0,85; fadiga até 0,91), com exceção de itens isolados ancorados no piso (na tensão, no vigor e na confusão), que apresentaram cargas baixas e explicam a parte do desajuste — coerente com a menor confiabilidade da tensão (Tabela 12). As correlações entre fatores reproduzem a estrutura afetiva esperada (vigor × fadiga = −0,55; depressão × confusão = +0,72). Cabe a ressalva metodológica de que as 457 observações são medidas repetidas aninhadas em 27 atletas — não independentes —, de modo que os índices devem ser lidos como aproximação confirmatória; ainda assim, sustentam a validade de construto do instrumento neste contexto, com a tensão como a dimensão mais frágil.</w:t>
      </w:r>
    </w:p>
    <w:p>
      <w:pPr>
        <w:spacing w:before="120" w:after="40"/>
        <w:jc w:val="left"/>
      </w:pPr>
      <w:r>
        <w:rPr>
          <w:rFonts w:ascii="Times New Roman" w:hAnsi="Times New Roman"/>
          <w:b/>
          <w:i w:val="0"/>
          <w:sz w:val="24"/>
        </w:rPr>
        <w:t>4.14 Discriminação (curva ROC) com e sem ruído: o efeito da filtragem</w:t>
      </w:r>
    </w:p>
    <w:p>
      <w:pPr>
        <w:spacing w:before="120" w:line="240" w:lineRule="auto"/>
        <w:jc w:val="left"/>
      </w:pPr>
      <w:r>
        <w:rPr>
          <w:rFonts w:ascii="Times New Roman" w:hAnsi="Times New Roman"/>
          <w:b w:val="0"/>
          <w:i w:val="0"/>
          <w:sz w:val="20"/>
        </w:rPr>
        <w:t>Tabela 16 – Área sob a curva ROC (AUC) na discriminação do último dia (Dia 7) versus a linha de base (Dia 1), com ruído (observações) e sem ruído (média diária filtrada), com IC95% bootstrap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Variável</w:t>
            </w:r>
          </w:p>
        </w:tc>
        <w:tc>
          <w:tcPr>
            <w:tcW w:type="dxa" w:w="3135"/>
          </w:tcPr>
          <w:p>
            <w:r>
              <w:rPr>
                <w:rFonts w:ascii="Times New Roman" w:hAnsi="Times New Roman"/>
                <w:b/>
                <w:i w:val="0"/>
                <w:sz w:val="17"/>
              </w:rPr>
              <w:t>AUC com ruído [IC95%]</w:t>
            </w:r>
          </w:p>
        </w:tc>
        <w:tc>
          <w:tcPr>
            <w:tcW w:type="dxa" w:w="3135"/>
          </w:tcPr>
          <w:p>
            <w:r>
              <w:rPr>
                <w:rFonts w:ascii="Times New Roman" w:hAnsi="Times New Roman"/>
                <w:b/>
                <w:i w:val="0"/>
                <w:sz w:val="17"/>
              </w:rPr>
              <w:t>AUC sem ruído [IC95%]</w:t>
            </w:r>
          </w:p>
        </w:tc>
      </w:tr>
      <w:tr>
        <w:tc>
          <w:tcPr>
            <w:tcW w:type="dxa" w:w="3135"/>
          </w:tcPr>
          <w:p>
            <w:r>
              <w:rPr>
                <w:rFonts w:ascii="Times New Roman" w:hAnsi="Times New Roman"/>
                <w:b w:val="0"/>
                <w:i w:val="0"/>
                <w:sz w:val="17"/>
              </w:rPr>
              <w:t>Vigor</w:t>
            </w:r>
          </w:p>
        </w:tc>
        <w:tc>
          <w:tcPr>
            <w:tcW w:type="dxa" w:w="3135"/>
          </w:tcPr>
          <w:p>
            <w:r>
              <w:rPr>
                <w:rFonts w:ascii="Times New Roman" w:hAnsi="Times New Roman"/>
                <w:b w:val="0"/>
                <w:i w:val="0"/>
                <w:sz w:val="17"/>
              </w:rPr>
              <w:t>0,74 [0,62; 0,85]</w:t>
            </w:r>
          </w:p>
        </w:tc>
        <w:tc>
          <w:tcPr>
            <w:tcW w:type="dxa" w:w="3135"/>
          </w:tcPr>
          <w:p>
            <w:r>
              <w:rPr>
                <w:rFonts w:ascii="Times New Roman" w:hAnsi="Times New Roman"/>
                <w:b w:val="0"/>
                <w:i w:val="0"/>
                <w:sz w:val="17"/>
              </w:rPr>
              <w:t>0,78 [0,64; 0,90]</w:t>
            </w:r>
          </w:p>
        </w:tc>
      </w:tr>
      <w:tr>
        <w:tc>
          <w:tcPr>
            <w:tcW w:type="dxa" w:w="3135"/>
          </w:tcPr>
          <w:p>
            <w:r>
              <w:rPr>
                <w:rFonts w:ascii="Times New Roman" w:hAnsi="Times New Roman"/>
                <w:b w:val="0"/>
                <w:i w:val="0"/>
                <w:sz w:val="17"/>
              </w:rPr>
              <w:t>Fadiga BRUMS</w:t>
            </w:r>
          </w:p>
        </w:tc>
        <w:tc>
          <w:tcPr>
            <w:tcW w:type="dxa" w:w="3135"/>
          </w:tcPr>
          <w:p>
            <w:r>
              <w:rPr>
                <w:rFonts w:ascii="Times New Roman" w:hAnsi="Times New Roman"/>
                <w:b w:val="0"/>
                <w:i w:val="0"/>
                <w:sz w:val="17"/>
              </w:rPr>
              <w:t>0,73 [0,61; 0,84]</w:t>
            </w:r>
          </w:p>
        </w:tc>
        <w:tc>
          <w:tcPr>
            <w:tcW w:type="dxa" w:w="3135"/>
          </w:tcPr>
          <w:p>
            <w:r>
              <w:rPr>
                <w:rFonts w:ascii="Times New Roman" w:hAnsi="Times New Roman"/>
                <w:b w:val="0"/>
                <w:i w:val="0"/>
                <w:sz w:val="17"/>
              </w:rPr>
              <w:t>0,73 [0,57; 0,87]</w:t>
            </w:r>
          </w:p>
        </w:tc>
      </w:tr>
      <w:tr>
        <w:tc>
          <w:tcPr>
            <w:tcW w:type="dxa" w:w="3135"/>
          </w:tcPr>
          <w:p>
            <w:r>
              <w:rPr>
                <w:rFonts w:ascii="Times New Roman" w:hAnsi="Times New Roman"/>
                <w:b w:val="0"/>
                <w:i w:val="0"/>
                <w:sz w:val="17"/>
              </w:rPr>
              <w:t>Fadiga física</w:t>
            </w:r>
          </w:p>
        </w:tc>
        <w:tc>
          <w:tcPr>
            <w:tcW w:type="dxa" w:w="3135"/>
          </w:tcPr>
          <w:p>
            <w:r>
              <w:rPr>
                <w:rFonts w:ascii="Times New Roman" w:hAnsi="Times New Roman"/>
                <w:b w:val="0"/>
                <w:i w:val="0"/>
                <w:sz w:val="17"/>
              </w:rPr>
              <w:t>0,85 [0,75; 0,92]</w:t>
            </w:r>
          </w:p>
        </w:tc>
        <w:tc>
          <w:tcPr>
            <w:tcW w:type="dxa" w:w="3135"/>
          </w:tcPr>
          <w:p>
            <w:r>
              <w:rPr>
                <w:rFonts w:ascii="Times New Roman" w:hAnsi="Times New Roman"/>
                <w:b w:val="0"/>
                <w:i w:val="0"/>
                <w:sz w:val="17"/>
              </w:rPr>
              <w:t>0,90 [0,80; 0,97]</w:t>
            </w:r>
          </w:p>
        </w:tc>
      </w:tr>
      <w:tr>
        <w:tc>
          <w:tcPr>
            <w:tcW w:type="dxa" w:w="3135"/>
          </w:tcPr>
          <w:p>
            <w:r>
              <w:rPr>
                <w:rFonts w:ascii="Times New Roman" w:hAnsi="Times New Roman"/>
                <w:b w:val="0"/>
                <w:i w:val="0"/>
                <w:sz w:val="17"/>
              </w:rPr>
              <w:t>Fadiga mental</w:t>
            </w:r>
          </w:p>
        </w:tc>
        <w:tc>
          <w:tcPr>
            <w:tcW w:type="dxa" w:w="3135"/>
          </w:tcPr>
          <w:p>
            <w:r>
              <w:rPr>
                <w:rFonts w:ascii="Times New Roman" w:hAnsi="Times New Roman"/>
                <w:b w:val="0"/>
                <w:i w:val="0"/>
                <w:sz w:val="17"/>
              </w:rPr>
              <w:t>0,52 [0,39; 0,66]</w:t>
            </w:r>
          </w:p>
        </w:tc>
        <w:tc>
          <w:tcPr>
            <w:tcW w:type="dxa" w:w="3135"/>
          </w:tcPr>
          <w:p>
            <w:r>
              <w:rPr>
                <w:rFonts w:ascii="Times New Roman" w:hAnsi="Times New Roman"/>
                <w:b w:val="0"/>
                <w:i w:val="0"/>
                <w:sz w:val="17"/>
              </w:rPr>
              <w:t>0,54 [0,36; 0,70]</w:t>
            </w:r>
          </w:p>
        </w:tc>
      </w:tr>
      <w:tr>
        <w:tc>
          <w:tcPr>
            <w:tcW w:type="dxa" w:w="3135"/>
          </w:tcPr>
          <w:p>
            <w:r>
              <w:rPr>
                <w:rFonts w:ascii="Times New Roman" w:hAnsi="Times New Roman"/>
                <w:b w:val="0"/>
                <w:i w:val="0"/>
                <w:sz w:val="17"/>
              </w:rPr>
              <w:t>PTH/TMD</w:t>
            </w:r>
          </w:p>
        </w:tc>
        <w:tc>
          <w:tcPr>
            <w:tcW w:type="dxa" w:w="3135"/>
          </w:tcPr>
          <w:p>
            <w:r>
              <w:rPr>
                <w:rFonts w:ascii="Times New Roman" w:hAnsi="Times New Roman"/>
                <w:b w:val="0"/>
                <w:i w:val="0"/>
                <w:sz w:val="17"/>
              </w:rPr>
              <w:t>0,66 [0,54; 0,77]</w:t>
            </w:r>
          </w:p>
        </w:tc>
        <w:tc>
          <w:tcPr>
            <w:tcW w:type="dxa" w:w="3135"/>
          </w:tcPr>
          <w:p>
            <w:r>
              <w:rPr>
                <w:rFonts w:ascii="Times New Roman" w:hAnsi="Times New Roman"/>
                <w:b w:val="0"/>
                <w:i w:val="0"/>
                <w:sz w:val="17"/>
              </w:rPr>
              <w:t>0,66 [0,50; 0,80]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curva ROC quantifica o quanto cada variável distingue uma observação do último dia de uma observação da linha de base. Com os dados brutos (observações individuais, com ruído), a fadiga física já é o melhor discriminador (AUC = 0,85), seguida do vigor (0,74) e da fadiga do BRUMS (0,73); a fadiga mental fica no acaso (0,52). Ao filtrar o ruído — tomando a média das coletas do dia —, a discriminação melhora nas variáveis responsivas: a fadiga física sobe para AUC = 0,90 e o vigor para 0,78 (Figura 9), enquanto as variáveis sem sinal (fadiga mental, PTH) não se beneficiam, como esperado. Isso demonstra, de forma direta, que a filtragem do ruído aumenta o poder discriminativo apenas onde há sinal a recuperar, e reforça o uso de médias de coletas para a decisão.</w:t>
      </w:r>
    </w:p>
    <w:p>
      <w:pPr>
        <w:spacing w:before="120" w:line="240" w:lineRule="auto"/>
        <w:jc w:val="center"/>
      </w:pPr>
      <w:r>
        <w:rPr>
          <w:rFonts w:ascii="Times New Roman" w:hAnsi="Times New Roman"/>
          <w:b w:val="0"/>
          <w:i w:val="0"/>
          <w:sz w:val="20"/>
        </w:rPr>
        <w:t>Figura 10 – Curvas ROC (Dia 7 vs Dia 1) com ruído (cinza, observações) e sem ruído (colorido, média diária filtrada)</w:t>
      </w:r>
    </w:p>
    <w:p>
      <w:pPr>
        <w:jc w:val="center"/>
      </w:pPr>
      <w:r>
        <w:drawing>
          <wp:inline xmlns:a="http://schemas.openxmlformats.org/drawingml/2006/main" xmlns:pic="http://schemas.openxmlformats.org/drawingml/2006/picture">
            <wp:extent cx="5120640" cy="2880360"/>
            <wp:docPr id="20" name="Picture 20"/>
            <wp:cNvGraphicFramePr>
              <a:graphicFrameLocks noChangeAspect="1"/>
            </wp:cNvGraphicFramePr>
            <a:graphic>
              <a:graphicData uri="http://schemas.openxmlformats.org/drawingml/2006/picture">
                <pic:pic>
                  <pic:nvPicPr>
                    <pic:cNvPr id="0" name="x_roc.png"/>
                    <pic:cNvPicPr/>
                  </pic:nvPicPr>
                  <pic:blipFill>
                    <a:blip r:embed="rId28"/>
                    <a:stretch>
                      <a:fillRect/>
                    </a:stretch>
                  </pic:blipFill>
                  <pic:spPr>
                    <a:xfrm>
                      <a:off x="0" y="0"/>
                      <a:ext cx="5120640" cy="288036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4.15 Ajuste alométrico: forma da acumulação e escalonamento pela aptidão</w:t>
      </w:r>
    </w:p>
    <w:p>
      <w:pPr>
        <w:spacing w:before="120" w:line="240" w:lineRule="auto"/>
        <w:jc w:val="left"/>
      </w:pPr>
      <w:r>
        <w:rPr>
          <w:rFonts w:ascii="Times New Roman" w:hAnsi="Times New Roman"/>
          <w:b w:val="0"/>
          <w:i w:val="0"/>
          <w:sz w:val="20"/>
        </w:rPr>
        <w:t>Tabela 17 – Ajuste alométrico (potência) da trajetória de fadiga, Y = a · diaᵇ, e comparação de AIC (potência / linear)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a</w:t>
            </w:r>
          </w:p>
        </w:tc>
        <w:tc>
          <w:tcPr>
            <w:tcW w:type="dxa" w:w="1881"/>
          </w:tcPr>
          <w:p>
            <w:r>
              <w:rPr>
                <w:rFonts w:ascii="Times New Roman" w:hAnsi="Times New Roman"/>
                <w:b/>
                <w:i w:val="0"/>
                <w:sz w:val="17"/>
              </w:rPr>
              <w:t>b (expoente)</w:t>
            </w:r>
          </w:p>
        </w:tc>
        <w:tc>
          <w:tcPr>
            <w:tcW w:type="dxa" w:w="1881"/>
          </w:tcPr>
          <w:p>
            <w:r>
              <w:rPr>
                <w:rFonts w:ascii="Times New Roman" w:hAnsi="Times New Roman"/>
                <w:b/>
                <w:i w:val="0"/>
                <w:sz w:val="17"/>
              </w:rPr>
              <w:t>R²</w:t>
            </w:r>
          </w:p>
        </w:tc>
        <w:tc>
          <w:tcPr>
            <w:tcW w:type="dxa" w:w="1881"/>
          </w:tcPr>
          <w:p>
            <w:r>
              <w:rPr>
                <w:rFonts w:ascii="Times New Roman" w:hAnsi="Times New Roman"/>
                <w:b/>
                <w:i w:val="0"/>
                <w:sz w:val="17"/>
              </w:rPr>
              <w:t>AIC pot./lin.</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4,34</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0,88</w:t>
            </w:r>
          </w:p>
        </w:tc>
        <w:tc>
          <w:tcPr>
            <w:tcW w:type="dxa" w:w="1881"/>
          </w:tcPr>
          <w:p>
            <w:r>
              <w:rPr>
                <w:rFonts w:ascii="Times New Roman" w:hAnsi="Times New Roman"/>
                <w:b w:val="0"/>
                <w:i w:val="0"/>
                <w:sz w:val="17"/>
              </w:rPr>
              <w:t>-10,5 / -9,4</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3,99</w:t>
            </w:r>
          </w:p>
        </w:tc>
        <w:tc>
          <w:tcPr>
            <w:tcW w:type="dxa" w:w="1881"/>
          </w:tcPr>
          <w:p>
            <w:r>
              <w:rPr>
                <w:rFonts w:ascii="Times New Roman" w:hAnsi="Times New Roman"/>
                <w:b w:val="0"/>
                <w:i w:val="0"/>
                <w:sz w:val="17"/>
              </w:rPr>
              <w:t>0,24</w:t>
            </w:r>
          </w:p>
        </w:tc>
        <w:tc>
          <w:tcPr>
            <w:tcW w:type="dxa" w:w="1881"/>
          </w:tcPr>
          <w:p>
            <w:r>
              <w:rPr>
                <w:rFonts w:ascii="Times New Roman" w:hAnsi="Times New Roman"/>
                <w:b w:val="0"/>
                <w:i w:val="0"/>
                <w:sz w:val="17"/>
              </w:rPr>
              <w:t>0,76</w:t>
            </w:r>
          </w:p>
        </w:tc>
        <w:tc>
          <w:tcPr>
            <w:tcW w:type="dxa" w:w="1881"/>
          </w:tcPr>
          <w:p>
            <w:r>
              <w:rPr>
                <w:rFonts w:ascii="Times New Roman" w:hAnsi="Times New Roman"/>
                <w:b w:val="0"/>
                <w:i w:val="0"/>
                <w:sz w:val="17"/>
              </w:rPr>
              <w:t>-5,3 / -6,9</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2,59</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12,3 / 11,0</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acumulação da fadiga ao longo da semana foi modelada por uma função de potência (alométrica) Y = a·diaᵇ, cujo expoente b resume a forma do crescimento (b &gt; 1 acelera; b &lt; 1 desacelera/satura). Para a fadiga física, o ajuste é bom (a = 4,34; b = 0,24; R² = 0,88) e supera o linear por AIC, indicando um crescimento sublinear em média — rápido no início e mais lento no miolo da semana (Figura 10, escala log-log) —, sobre o qual se sobrepõe a precipitação do Dia 7 que apenas o modelo cúbico captura integralmente. Complementarmente, a aptidão aeróbia foi escalonada alometricamente pela massa corporal (pico de velocidade do T-CAR = a·massa^(−0,19)); a aptidão bruta associa-se negativamente à fadiga média da semana (ρ = −0,49; p = 0,014) — atletas mais aptos fatigam menos —, mas essa associação enfraquece após o escalonamento alométrico (ρ = −0,31; p = 0,135), sugerindo que parte do efeito protetor da aptidão é explicada pelo porte corporal.</w:t>
      </w:r>
    </w:p>
    <w:p>
      <w:pPr>
        <w:spacing w:before="120" w:line="240" w:lineRule="auto"/>
        <w:jc w:val="center"/>
      </w:pPr>
      <w:r>
        <w:rPr>
          <w:rFonts w:ascii="Times New Roman" w:hAnsi="Times New Roman"/>
          <w:b w:val="0"/>
          <w:i w:val="0"/>
          <w:sz w:val="20"/>
        </w:rPr>
        <w:t>Figura 11 – Ajuste alométrico (potência) da trajetória de fadiga em escala linear e log-log</w:t>
      </w:r>
    </w:p>
    <w:p>
      <w:pPr>
        <w:jc w:val="center"/>
      </w:pPr>
      <w:r>
        <w:drawing>
          <wp:inline xmlns:a="http://schemas.openxmlformats.org/drawingml/2006/main" xmlns:pic="http://schemas.openxmlformats.org/drawingml/2006/picture">
            <wp:extent cx="4937760" cy="2777490"/>
            <wp:docPr id="21" name="Picture 21"/>
            <wp:cNvGraphicFramePr>
              <a:graphicFrameLocks noChangeAspect="1"/>
            </wp:cNvGraphicFramePr>
            <a:graphic>
              <a:graphicData uri="http://schemas.openxmlformats.org/drawingml/2006/picture">
                <pic:pic>
                  <pic:nvPicPr>
                    <pic:cNvPr id="0" name="x_allo.png"/>
                    <pic:cNvPicPr/>
                  </pic:nvPicPr>
                  <pic:blipFill>
                    <a:blip r:embed="rId29"/>
                    <a:stretch>
                      <a:fillRect/>
                    </a:stretch>
                  </pic:blipFill>
                  <pic:spPr>
                    <a:xfrm>
                      <a:off x="0" y="0"/>
                      <a:ext cx="4937760" cy="277749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4.16 Normalização alométrica por massa corporal e por pico de velocidade</w:t>
      </w:r>
    </w:p>
    <w:p>
      <w:pPr>
        <w:spacing w:before="120" w:line="240" w:lineRule="auto"/>
        <w:jc w:val="left"/>
      </w:pPr>
      <w:r>
        <w:rPr>
          <w:rFonts w:ascii="Times New Roman" w:hAnsi="Times New Roman"/>
          <w:b w:val="0"/>
          <w:i w:val="0"/>
          <w:sz w:val="20"/>
        </w:rPr>
        <w:t>Tabela 18 – Normalização alométrica: expoentes (b) da relação de potência com a massa corporal e com o pico de velocidade do T-CAR, e correlação bruta (Spearman ρ) com cada covariável (* p &lt; 0,05)</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b (massa)</w:t>
            </w:r>
          </w:p>
        </w:tc>
        <w:tc>
          <w:tcPr>
            <w:tcW w:type="dxa" w:w="1881"/>
          </w:tcPr>
          <w:p>
            <w:r>
              <w:rPr>
                <w:rFonts w:ascii="Times New Roman" w:hAnsi="Times New Roman"/>
                <w:b/>
                <w:i w:val="0"/>
                <w:sz w:val="17"/>
              </w:rPr>
              <w:t>ρ massa</w:t>
            </w:r>
          </w:p>
        </w:tc>
        <w:tc>
          <w:tcPr>
            <w:tcW w:type="dxa" w:w="1881"/>
          </w:tcPr>
          <w:p>
            <w:r>
              <w:rPr>
                <w:rFonts w:ascii="Times New Roman" w:hAnsi="Times New Roman"/>
                <w:b/>
                <w:i w:val="0"/>
                <w:sz w:val="17"/>
              </w:rPr>
              <w:t>b (PV)</w:t>
            </w:r>
          </w:p>
        </w:tc>
        <w:tc>
          <w:tcPr>
            <w:tcW w:type="dxa" w:w="1881"/>
          </w:tcPr>
          <w:p>
            <w:r>
              <w:rPr>
                <w:rFonts w:ascii="Times New Roman" w:hAnsi="Times New Roman"/>
                <w:b/>
                <w:i w:val="0"/>
                <w:sz w:val="17"/>
              </w:rPr>
              <w:t>ρ PV</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+0,58</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-1,62</w:t>
            </w:r>
          </w:p>
        </w:tc>
        <w:tc>
          <w:tcPr>
            <w:tcW w:type="dxa" w:w="1881"/>
          </w:tcPr>
          <w:p>
            <w:r>
              <w:rPr>
                <w:rFonts w:ascii="Times New Roman" w:hAnsi="Times New Roman"/>
                <w:b w:val="0"/>
                <w:i w:val="0"/>
                <w:sz w:val="17"/>
              </w:rPr>
              <w:t>-0,52*</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+1,27</w:t>
            </w:r>
          </w:p>
        </w:tc>
        <w:tc>
          <w:tcPr>
            <w:tcW w:type="dxa" w:w="1881"/>
          </w:tcPr>
          <w:p>
            <w:r>
              <w:rPr>
                <w:rFonts w:ascii="Times New Roman" w:hAnsi="Times New Roman"/>
                <w:b w:val="0"/>
                <w:i w:val="0"/>
                <w:sz w:val="17"/>
              </w:rPr>
              <w:t>+0,34</w:t>
            </w:r>
          </w:p>
        </w:tc>
        <w:tc>
          <w:tcPr>
            <w:tcW w:type="dxa" w:w="1881"/>
          </w:tcPr>
          <w:p>
            <w:r>
              <w:rPr>
                <w:rFonts w:ascii="Times New Roman" w:hAnsi="Times New Roman"/>
                <w:b w:val="0"/>
                <w:i w:val="0"/>
                <w:sz w:val="17"/>
              </w:rPr>
              <w:t>-1,44</w:t>
            </w:r>
          </w:p>
        </w:tc>
        <w:tc>
          <w:tcPr>
            <w:tcW w:type="dxa" w:w="1881"/>
          </w:tcPr>
          <w:p>
            <w:r>
              <w:rPr>
                <w:rFonts w:ascii="Times New Roman" w:hAnsi="Times New Roman"/>
                <w:b w:val="0"/>
                <w:i w:val="0"/>
                <w:sz w:val="17"/>
              </w:rPr>
              <w:t>-0,32</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-0,00</w:t>
            </w:r>
          </w:p>
        </w:tc>
        <w:tc>
          <w:tcPr>
            <w:tcW w:type="dxa" w:w="1881"/>
          </w:tcPr>
          <w:p>
            <w:r>
              <w:rPr>
                <w:rFonts w:ascii="Times New Roman" w:hAnsi="Times New Roman"/>
                <w:b w:val="0"/>
                <w:i w:val="0"/>
                <w:sz w:val="17"/>
              </w:rPr>
              <w:t>+0,06</w:t>
            </w:r>
          </w:p>
        </w:tc>
        <w:tc>
          <w:tcPr>
            <w:tcW w:type="dxa" w:w="1881"/>
          </w:tcPr>
          <w:p>
            <w:r>
              <w:rPr>
                <w:rFonts w:ascii="Times New Roman" w:hAnsi="Times New Roman"/>
                <w:b w:val="0"/>
                <w:i w:val="0"/>
                <w:sz w:val="17"/>
              </w:rPr>
              <w:t>-4,18</w:t>
            </w:r>
          </w:p>
        </w:tc>
        <w:tc>
          <w:tcPr>
            <w:tcW w:type="dxa" w:w="1881"/>
          </w:tcPr>
          <w:p>
            <w:r>
              <w:rPr>
                <w:rFonts w:ascii="Times New Roman" w:hAnsi="Times New Roman"/>
                <w:b w:val="0"/>
                <w:i w:val="0"/>
                <w:sz w:val="17"/>
              </w:rPr>
              <w:t>-0,22</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+0,15</w:t>
            </w:r>
          </w:p>
        </w:tc>
        <w:tc>
          <w:tcPr>
            <w:tcW w:type="dxa" w:w="1881"/>
          </w:tcPr>
          <w:p>
            <w:r>
              <w:rPr>
                <w:rFonts w:ascii="Times New Roman" w:hAnsi="Times New Roman"/>
                <w:b w:val="0"/>
                <w:i w:val="0"/>
                <w:sz w:val="17"/>
              </w:rPr>
              <w:t>+0,16</w:t>
            </w:r>
          </w:p>
        </w:tc>
        <w:tc>
          <w:tcPr>
            <w:tcW w:type="dxa" w:w="1881"/>
          </w:tcPr>
          <w:p>
            <w:r>
              <w:rPr>
                <w:rFonts w:ascii="Times New Roman" w:hAnsi="Times New Roman"/>
                <w:b w:val="0"/>
                <w:i w:val="0"/>
                <w:sz w:val="17"/>
              </w:rPr>
              <w:t>+2,18</w:t>
            </w:r>
          </w:p>
        </w:tc>
        <w:tc>
          <w:tcPr>
            <w:tcW w:type="dxa" w:w="1881"/>
          </w:tcPr>
          <w:p>
            <w:r>
              <w:rPr>
                <w:rFonts w:ascii="Times New Roman" w:hAnsi="Times New Roman"/>
                <w:b w:val="0"/>
                <w:i w:val="0"/>
                <w:sz w:val="17"/>
              </w:rPr>
              <w:t>+0,48*</w:t>
            </w:r>
          </w:p>
        </w:tc>
      </w:tr>
    </w:tbl>
    <w:p>
      <w:pPr>
        <w:spacing w:after="120" w:line="240" w:lineRule="auto"/>
        <w:jc w:val="left"/>
      </w:pPr>
      <w:r>
        <w:rPr>
          <w:rFonts w:ascii="Times New Roman" w:hAnsi="Times New Roman"/>
          <w:b w:val="0"/>
          <w:i w:val="0"/>
          <w:sz w:val="20"/>
        </w:rPr>
        <w:t>Fonte: Dados da pesquisa (2026).</w:t>
      </w:r>
    </w:p>
    <w:p>
      <w:pPr>
        <w:spacing w:before="120" w:line="240" w:lineRule="auto"/>
        <w:jc w:val="left"/>
      </w:pPr>
      <w:r>
        <w:rPr>
          <w:rFonts w:ascii="Times New Roman" w:hAnsi="Times New Roman"/>
          <w:b w:val="0"/>
          <w:i w:val="0"/>
          <w:sz w:val="20"/>
        </w:rPr>
        <w:t>Tabela 19 – Correlação (Spearman ρ) das variáveis com a massa corporal e o pico de velocidade, antes e depois da normalização alométrica (a queda para ≈ 0 confirma a remoção da dependência)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881"/>
        <w:gridCol w:w="1881"/>
        <w:gridCol w:w="1881"/>
        <w:gridCol w:w="1881"/>
        <w:gridCol w:w="1881"/>
      </w:tblGrid>
      <w:tr>
        <w:tc>
          <w:tcPr>
            <w:tcW w:type="dxa" w:w="1881"/>
          </w:tcPr>
          <w:p>
            <w:r>
              <w:rPr>
                <w:rFonts w:ascii="Times New Roman" w:hAnsi="Times New Roman"/>
                <w:b/>
                <w:i w:val="0"/>
                <w:sz w:val="17"/>
              </w:rPr>
              <w:t>Variável</w:t>
            </w:r>
          </w:p>
        </w:tc>
        <w:tc>
          <w:tcPr>
            <w:tcW w:type="dxa" w:w="1881"/>
          </w:tcPr>
          <w:p>
            <w:r>
              <w:rPr>
                <w:rFonts w:ascii="Times New Roman" w:hAnsi="Times New Roman"/>
                <w:b/>
                <w:i w:val="0"/>
                <w:sz w:val="17"/>
              </w:rPr>
              <w:t>ρ massa (bruto)</w:t>
            </w:r>
          </w:p>
        </w:tc>
        <w:tc>
          <w:tcPr>
            <w:tcW w:type="dxa" w:w="1881"/>
          </w:tcPr>
          <w:p>
            <w:r>
              <w:rPr>
                <w:rFonts w:ascii="Times New Roman" w:hAnsi="Times New Roman"/>
                <w:b/>
                <w:i w:val="0"/>
                <w:sz w:val="17"/>
              </w:rPr>
              <w:t>ρ massa (norm.)</w:t>
            </w:r>
          </w:p>
        </w:tc>
        <w:tc>
          <w:tcPr>
            <w:tcW w:type="dxa" w:w="1881"/>
          </w:tcPr>
          <w:p>
            <w:r>
              <w:rPr>
                <w:rFonts w:ascii="Times New Roman" w:hAnsi="Times New Roman"/>
                <w:b/>
                <w:i w:val="0"/>
                <w:sz w:val="17"/>
              </w:rPr>
              <w:t>ρ PV (bruto)</w:t>
            </w:r>
          </w:p>
        </w:tc>
        <w:tc>
          <w:tcPr>
            <w:tcW w:type="dxa" w:w="1881"/>
          </w:tcPr>
          <w:p>
            <w:r>
              <w:rPr>
                <w:rFonts w:ascii="Times New Roman" w:hAnsi="Times New Roman"/>
                <w:b/>
                <w:i w:val="0"/>
                <w:sz w:val="17"/>
              </w:rPr>
              <w:t>ρ PV (norm.)</w:t>
            </w:r>
          </w:p>
        </w:tc>
      </w:tr>
      <w:tr>
        <w:tc>
          <w:tcPr>
            <w:tcW w:type="dxa" w:w="1881"/>
          </w:tcPr>
          <w:p>
            <w:r>
              <w:rPr>
                <w:rFonts w:ascii="Times New Roman" w:hAnsi="Times New Roman"/>
                <w:b w:val="0"/>
                <w:i w:val="0"/>
                <w:sz w:val="17"/>
              </w:rPr>
              <w:t>Fadiga física</w:t>
            </w:r>
          </w:p>
        </w:tc>
        <w:tc>
          <w:tcPr>
            <w:tcW w:type="dxa" w:w="1881"/>
          </w:tcPr>
          <w:p>
            <w:r>
              <w:rPr>
                <w:rFonts w:ascii="Times New Roman" w:hAnsi="Times New Roman"/>
                <w:b w:val="0"/>
                <w:i w:val="0"/>
                <w:sz w:val="17"/>
              </w:rPr>
              <w:t>+0,35</w:t>
            </w:r>
          </w:p>
        </w:tc>
        <w:tc>
          <w:tcPr>
            <w:tcW w:type="dxa" w:w="1881"/>
          </w:tcPr>
          <w:p>
            <w:r>
              <w:rPr>
                <w:rFonts w:ascii="Times New Roman" w:hAnsi="Times New Roman"/>
                <w:b w:val="0"/>
                <w:i w:val="0"/>
                <w:sz w:val="17"/>
              </w:rPr>
              <w:t>-0,04</w:t>
            </w:r>
          </w:p>
        </w:tc>
        <w:tc>
          <w:tcPr>
            <w:tcW w:type="dxa" w:w="1881"/>
          </w:tcPr>
          <w:p>
            <w:r>
              <w:rPr>
                <w:rFonts w:ascii="Times New Roman" w:hAnsi="Times New Roman"/>
                <w:b w:val="0"/>
                <w:i w:val="0"/>
                <w:sz w:val="17"/>
              </w:rPr>
              <w:t>-0,52</w:t>
            </w:r>
          </w:p>
        </w:tc>
        <w:tc>
          <w:tcPr>
            <w:tcW w:type="dxa" w:w="1881"/>
          </w:tcPr>
          <w:p>
            <w:r>
              <w:rPr>
                <w:rFonts w:ascii="Times New Roman" w:hAnsi="Times New Roman"/>
                <w:b w:val="0"/>
                <w:i w:val="0"/>
                <w:sz w:val="17"/>
              </w:rPr>
              <w:t>-0,19</w:t>
            </w:r>
          </w:p>
        </w:tc>
      </w:tr>
      <w:tr>
        <w:tc>
          <w:tcPr>
            <w:tcW w:type="dxa" w:w="1881"/>
          </w:tcPr>
          <w:p>
            <w:r>
              <w:rPr>
                <w:rFonts w:ascii="Times New Roman" w:hAnsi="Times New Roman"/>
                <w:b w:val="0"/>
                <w:i w:val="0"/>
                <w:sz w:val="17"/>
              </w:rPr>
              <w:t>Fadiga BRUMS</w:t>
            </w:r>
          </w:p>
        </w:tc>
        <w:tc>
          <w:tcPr>
            <w:tcW w:type="dxa" w:w="1881"/>
          </w:tcPr>
          <w:p>
            <w:r>
              <w:rPr>
                <w:rFonts w:ascii="Times New Roman" w:hAnsi="Times New Roman"/>
                <w:b w:val="0"/>
                <w:i w:val="0"/>
                <w:sz w:val="17"/>
              </w:rPr>
              <w:t>+0,34</w:t>
            </w:r>
          </w:p>
        </w:tc>
        <w:tc>
          <w:tcPr>
            <w:tcW w:type="dxa" w:w="1881"/>
          </w:tcPr>
          <w:p>
            <w:r>
              <w:rPr>
                <w:rFonts w:ascii="Times New Roman" w:hAnsi="Times New Roman"/>
                <w:b w:val="0"/>
                <w:i w:val="0"/>
                <w:sz w:val="17"/>
              </w:rPr>
              <w:t>-0,03</w:t>
            </w:r>
          </w:p>
        </w:tc>
        <w:tc>
          <w:tcPr>
            <w:tcW w:type="dxa" w:w="1881"/>
          </w:tcPr>
          <w:p>
            <w:r>
              <w:rPr>
                <w:rFonts w:ascii="Times New Roman" w:hAnsi="Times New Roman"/>
                <w:b w:val="0"/>
                <w:i w:val="0"/>
                <w:sz w:val="17"/>
              </w:rPr>
              <w:t>-0,32</w:t>
            </w:r>
          </w:p>
        </w:tc>
        <w:tc>
          <w:tcPr>
            <w:tcW w:type="dxa" w:w="1881"/>
          </w:tcPr>
          <w:p>
            <w:r>
              <w:rPr>
                <w:rFonts w:ascii="Times New Roman" w:hAnsi="Times New Roman"/>
                <w:b w:val="0"/>
                <w:i w:val="0"/>
                <w:sz w:val="17"/>
              </w:rPr>
              <w:t>-0,17</w:t>
            </w:r>
          </w:p>
        </w:tc>
      </w:tr>
      <w:tr>
        <w:tc>
          <w:tcPr>
            <w:tcW w:type="dxa" w:w="1881"/>
          </w:tcPr>
          <w:p>
            <w:r>
              <w:rPr>
                <w:rFonts w:ascii="Times New Roman" w:hAnsi="Times New Roman"/>
                <w:b w:val="0"/>
                <w:i w:val="0"/>
                <w:sz w:val="17"/>
              </w:rPr>
              <w:t>PTH/TMD</w:t>
            </w:r>
          </w:p>
        </w:tc>
        <w:tc>
          <w:tcPr>
            <w:tcW w:type="dxa" w:w="1881"/>
          </w:tcPr>
          <w:p>
            <w:r>
              <w:rPr>
                <w:rFonts w:ascii="Times New Roman" w:hAnsi="Times New Roman"/>
                <w:b w:val="0"/>
                <w:i w:val="0"/>
                <w:sz w:val="17"/>
              </w:rPr>
              <w:t>+0,06</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-0,22</w:t>
            </w:r>
          </w:p>
        </w:tc>
        <w:tc>
          <w:tcPr>
            <w:tcW w:type="dxa" w:w="1881"/>
          </w:tcPr>
          <w:p>
            <w:r>
              <w:rPr>
                <w:rFonts w:ascii="Times New Roman" w:hAnsi="Times New Roman"/>
                <w:b w:val="0"/>
                <w:i w:val="0"/>
                <w:sz w:val="17"/>
              </w:rPr>
              <w:t>-0,21</w:t>
            </w:r>
          </w:p>
        </w:tc>
      </w:tr>
      <w:tr>
        <w:tc>
          <w:tcPr>
            <w:tcW w:type="dxa" w:w="1881"/>
          </w:tcPr>
          <w:p>
            <w:r>
              <w:rPr>
                <w:rFonts w:ascii="Times New Roman" w:hAnsi="Times New Roman"/>
                <w:b w:val="0"/>
                <w:i w:val="0"/>
                <w:sz w:val="17"/>
              </w:rPr>
              <w:t>Vigor</w:t>
            </w:r>
          </w:p>
        </w:tc>
        <w:tc>
          <w:tcPr>
            <w:tcW w:type="dxa" w:w="1881"/>
          </w:tcPr>
          <w:p>
            <w:r>
              <w:rPr>
                <w:rFonts w:ascii="Times New Roman" w:hAnsi="Times New Roman"/>
                <w:b w:val="0"/>
                <w:i w:val="0"/>
                <w:sz w:val="17"/>
              </w:rPr>
              <w:t>+0,16</w:t>
            </w:r>
          </w:p>
        </w:tc>
        <w:tc>
          <w:tcPr>
            <w:tcW w:type="dxa" w:w="1881"/>
          </w:tcPr>
          <w:p>
            <w:r>
              <w:rPr>
                <w:rFonts w:ascii="Times New Roman" w:hAnsi="Times New Roman"/>
                <w:b w:val="0"/>
                <w:i w:val="0"/>
                <w:sz w:val="17"/>
              </w:rPr>
              <w:t>+0,02</w:t>
            </w:r>
          </w:p>
        </w:tc>
        <w:tc>
          <w:tcPr>
            <w:tcW w:type="dxa" w:w="1881"/>
          </w:tcPr>
          <w:p>
            <w:r>
              <w:rPr>
                <w:rFonts w:ascii="Times New Roman" w:hAnsi="Times New Roman"/>
                <w:b w:val="0"/>
                <w:i w:val="0"/>
                <w:sz w:val="17"/>
              </w:rPr>
              <w:t>+0,48</w:t>
            </w:r>
          </w:p>
        </w:tc>
        <w:tc>
          <w:tcPr>
            <w:tcW w:type="dxa" w:w="1881"/>
          </w:tcPr>
          <w:p>
            <w:r>
              <w:rPr>
                <w:rFonts w:ascii="Times New Roman" w:hAnsi="Times New Roman"/>
                <w:b w:val="0"/>
                <w:i w:val="0"/>
                <w:sz w:val="17"/>
              </w:rPr>
              <w:t>+0,09</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normalização alométrica ajusta cada variável pela covariável elevada a um expoente estimado (Y/massaᵇ e Y/PVᵇ), removendo a dependência de tamanho ou de aptidão — o que se confirma pela queda das correlações para próximo de zero após a normalização. Pela massa corporal, os expoentes não atingiram significância e as correlações brutas foram fracas (fadiga física ρ = +0,35; demais ≤ 0,34), indicando que as variáveis de humor e fadiga são essencialmente independentes do porte corporal — a normalização por massa, portanto, é dispensável neste contexto. Já pela aptidão aeróbia (pico de velocidade do T-CAR), evidenciou-se um gradiente claro: atletas mais aptos apresentaram menor fadiga física (ρ = −0,52; p &lt; 0,05) e maior vigor (ρ = +0,48; p &lt; 0,05), com expoentes alométricos negativos para as fadigas e positivo para o vigor (Figura 11). Isso indica que a aptidão é protetora contra a fadiga do microciclo, e que o pico de velocidade — não a massa — é a covariável relevante para individualizar a interpretação das cargas psicométricas. A normalização por PVᵇ produz, assim, um índice de fadiga ajustado à aptidão, útil para comparar atletas de capacidades distintas.</w:t>
      </w:r>
    </w:p>
    <w:p>
      <w:pPr>
        <w:spacing w:before="120" w:line="240" w:lineRule="auto"/>
        <w:jc w:val="center"/>
      </w:pPr>
      <w:r>
        <w:rPr>
          <w:rFonts w:ascii="Times New Roman" w:hAnsi="Times New Roman"/>
          <w:b w:val="0"/>
          <w:i w:val="0"/>
          <w:sz w:val="20"/>
        </w:rPr>
        <w:t>Figura 12 – Relações alométricas (log-log) das variáveis com a massa corporal (esquerda) e com o pico de velocidade (direita)</w:t>
      </w:r>
    </w:p>
    <w:p>
      <w:pPr>
        <w:jc w:val="center"/>
      </w:pPr>
      <w:r>
        <w:drawing>
          <wp:inline xmlns:a="http://schemas.openxmlformats.org/drawingml/2006/main" xmlns:pic="http://schemas.openxmlformats.org/drawingml/2006/picture">
            <wp:extent cx="5120640" cy="2720340"/>
            <wp:docPr id="22" name="Picture 22"/>
            <wp:cNvGraphicFramePr>
              <a:graphicFrameLocks noChangeAspect="1"/>
            </wp:cNvGraphicFramePr>
            <a:graphic>
              <a:graphicData uri="http://schemas.openxmlformats.org/drawingml/2006/picture">
                <pic:pic>
                  <pic:nvPicPr>
                    <pic:cNvPr id="0" name="x_allonorm.png"/>
                    <pic:cNvPicPr/>
                  </pic:nvPicPr>
                  <pic:blipFill>
                    <a:blip r:embed="rId30"/>
                    <a:stretch>
                      <a:fillRect/>
                    </a:stretch>
                  </pic:blipFill>
                  <pic:spPr>
                    <a:xfrm>
                      <a:off x="0" y="0"/>
                      <a:ext cx="5120640" cy="2720340"/>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4.17 Limiar de aptidão (pico de velocidade) e proteção contra a fadiga</w:t>
      </w:r>
    </w:p>
    <w:p>
      <w:pPr>
        <w:spacing w:before="120" w:line="240" w:lineRule="auto"/>
        <w:jc w:val="left"/>
      </w:pPr>
      <w:r>
        <w:rPr>
          <w:rFonts w:ascii="Times New Roman" w:hAnsi="Times New Roman"/>
          <w:b w:val="0"/>
          <w:i w:val="0"/>
          <w:sz w:val="20"/>
        </w:rPr>
        <w:t>Tabela 20 – Relação entre o pico de velocidade (aptidão aeróbia) e a fadiga física média da semana: regressão, limiar e comparação por tercis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Análise</w:t>
            </w:r>
          </w:p>
        </w:tc>
        <w:tc>
          <w:tcPr>
            <w:tcW w:type="dxa" w:w="3135"/>
          </w:tcPr>
          <w:p>
            <w:r>
              <w:rPr>
                <w:rFonts w:ascii="Times New Roman" w:hAnsi="Times New Roman"/>
                <w:b/>
                <w:i w:val="0"/>
                <w:sz w:val="17"/>
              </w:rPr>
              <w:t>Resultado</w:t>
            </w:r>
          </w:p>
        </w:tc>
        <w:tc>
          <w:tcPr>
            <w:tcW w:type="dxa" w:w="3135"/>
          </w:tcPr>
          <w:p>
            <w:r>
              <w:rPr>
                <w:rFonts w:ascii="Times New Roman" w:hAnsi="Times New Roman"/>
                <w:b/>
                <w:i w:val="0"/>
                <w:sz w:val="17"/>
              </w:rPr>
              <w:t>Estatística</w:t>
            </w:r>
          </w:p>
        </w:tc>
      </w:tr>
      <w:tr>
        <w:tc>
          <w:tcPr>
            <w:tcW w:type="dxa" w:w="3135"/>
          </w:tcPr>
          <w:p>
            <w:r>
              <w:rPr>
                <w:rFonts w:ascii="Times New Roman" w:hAnsi="Times New Roman"/>
                <w:b w:val="0"/>
                <w:i w:val="0"/>
                <w:sz w:val="17"/>
              </w:rPr>
              <w:t>Regressão fadiga da semana × PV</w:t>
            </w:r>
          </w:p>
        </w:tc>
        <w:tc>
          <w:tcPr>
            <w:tcW w:type="dxa" w:w="3135"/>
          </w:tcPr>
          <w:p>
            <w:r>
              <w:rPr>
                <w:rFonts w:ascii="Times New Roman" w:hAnsi="Times New Roman"/>
                <w:b w:val="0"/>
                <w:i w:val="0"/>
                <w:sz w:val="17"/>
              </w:rPr>
              <w:t>b = -0,65 ponto/(km·h⁻¹)</w:t>
            </w:r>
          </w:p>
        </w:tc>
        <w:tc>
          <w:tcPr>
            <w:tcW w:type="dxa" w:w="3135"/>
          </w:tcPr>
          <w:p>
            <w:r>
              <w:rPr>
                <w:rFonts w:ascii="Times New Roman" w:hAnsi="Times New Roman"/>
                <w:b w:val="0"/>
                <w:i w:val="0"/>
                <w:sz w:val="17"/>
              </w:rPr>
              <w:t>R² = 0,20; p = 0,026</w:t>
            </w:r>
          </w:p>
        </w:tc>
      </w:tr>
      <w:tr>
        <w:tc>
          <w:tcPr>
            <w:tcW w:type="dxa" w:w="3135"/>
          </w:tcPr>
          <w:p>
            <w:r>
              <w:rPr>
                <w:rFonts w:ascii="Times New Roman" w:hAnsi="Times New Roman"/>
                <w:b w:val="0"/>
                <w:i w:val="0"/>
                <w:sz w:val="17"/>
              </w:rPr>
              <w:t>Correlação (Spearman)</w:t>
            </w:r>
          </w:p>
        </w:tc>
        <w:tc>
          <w:tcPr>
            <w:tcW w:type="dxa" w:w="3135"/>
          </w:tcPr>
          <w:p>
            <w:r>
              <w:rPr>
                <w:rFonts w:ascii="Times New Roman" w:hAnsi="Times New Roman"/>
                <w:b w:val="0"/>
                <w:i w:val="0"/>
                <w:sz w:val="17"/>
              </w:rPr>
              <w:t>ρ = -0,52</w:t>
            </w:r>
          </w:p>
        </w:tc>
        <w:tc>
          <w:tcPr>
            <w:tcW w:type="dxa" w:w="3135"/>
          </w:tcPr>
          <w:p>
            <w:r>
              <w:rPr>
                <w:rFonts w:ascii="Times New Roman" w:hAnsi="Times New Roman"/>
                <w:b w:val="0"/>
                <w:i w:val="0"/>
                <w:sz w:val="17"/>
              </w:rPr>
              <w:t>p &lt; 0,05</w:t>
            </w:r>
          </w:p>
        </w:tc>
      </w:tr>
      <w:tr>
        <w:tc>
          <w:tcPr>
            <w:tcW w:type="dxa" w:w="3135"/>
          </w:tcPr>
          <w:p>
            <w:r>
              <w:rPr>
                <w:rFonts w:ascii="Times New Roman" w:hAnsi="Times New Roman"/>
                <w:b w:val="0"/>
                <w:i w:val="0"/>
                <w:sz w:val="17"/>
              </w:rPr>
              <w:t>Discriminação (AUC) do PV p/ alta fadiga</w:t>
            </w:r>
          </w:p>
        </w:tc>
        <w:tc>
          <w:tcPr>
            <w:tcW w:type="dxa" w:w="3135"/>
          </w:tcPr>
          <w:p>
            <w:r>
              <w:rPr>
                <w:rFonts w:ascii="Times New Roman" w:hAnsi="Times New Roman"/>
                <w:b w:val="0"/>
                <w:i w:val="0"/>
                <w:sz w:val="17"/>
              </w:rPr>
              <w:t>AUC = 0,84</w:t>
            </w:r>
          </w:p>
        </w:tc>
        <w:tc>
          <w:tcPr>
            <w:tcW w:type="dxa" w:w="3135"/>
          </w:tcPr>
          <w:p>
            <w:r>
              <w:rPr>
                <w:rFonts w:ascii="Times New Roman" w:hAnsi="Times New Roman"/>
                <w:b w:val="0"/>
                <w:i w:val="0"/>
                <w:sz w:val="17"/>
              </w:rPr>
              <w:t>—</w:t>
            </w:r>
          </w:p>
        </w:tc>
      </w:tr>
      <w:tr>
        <w:tc>
          <w:tcPr>
            <w:tcW w:type="dxa" w:w="3135"/>
          </w:tcPr>
          <w:p>
            <w:r>
              <w:rPr>
                <w:rFonts w:ascii="Times New Roman" w:hAnsi="Times New Roman"/>
                <w:b w:val="0"/>
                <w:i w:val="0"/>
                <w:sz w:val="17"/>
              </w:rPr>
              <w:t>Limiar (logística, P = 50%)</w:t>
            </w:r>
          </w:p>
        </w:tc>
        <w:tc>
          <w:tcPr>
            <w:tcW w:type="dxa" w:w="3135"/>
          </w:tcPr>
          <w:p>
            <w:r>
              <w:rPr>
                <w:rFonts w:ascii="Times New Roman" w:hAnsi="Times New Roman"/>
                <w:b w:val="0"/>
                <w:i w:val="0"/>
                <w:sz w:val="17"/>
              </w:rPr>
              <w:t>PV = 14,8 km/h</w:t>
            </w:r>
          </w:p>
        </w:tc>
        <w:tc>
          <w:tcPr>
            <w:tcW w:type="dxa" w:w="3135"/>
          </w:tcPr>
          <w:p>
            <w:r>
              <w:rPr>
                <w:rFonts w:ascii="Times New Roman" w:hAnsi="Times New Roman"/>
                <w:b w:val="0"/>
                <w:i w:val="0"/>
                <w:sz w:val="17"/>
              </w:rPr>
              <w:t>OR = 0,20/km·h⁻¹; p = 0,025</w:t>
            </w:r>
          </w:p>
        </w:tc>
      </w:tr>
      <w:tr>
        <w:tc>
          <w:tcPr>
            <w:tcW w:type="dxa" w:w="3135"/>
          </w:tcPr>
          <w:p>
            <w:r>
              <w:rPr>
                <w:rFonts w:ascii="Times New Roman" w:hAnsi="Times New Roman"/>
                <w:b w:val="0"/>
                <w:i w:val="0"/>
                <w:sz w:val="17"/>
              </w:rPr>
              <w:t>Tercis de PV (fadiga média)</w:t>
            </w:r>
          </w:p>
        </w:tc>
        <w:tc>
          <w:tcPr>
            <w:tcW w:type="dxa" w:w="3135"/>
          </w:tcPr>
          <w:p>
            <w:r>
              <w:rPr>
                <w:rFonts w:ascii="Times New Roman" w:hAnsi="Times New Roman"/>
                <w:b w:val="0"/>
                <w:i w:val="0"/>
                <w:sz w:val="17"/>
              </w:rPr>
              <w:t>Baixo 6,81 · Médio 5,37 · Alto 5,13</w:t>
            </w:r>
          </w:p>
        </w:tc>
        <w:tc>
          <w:tcPr>
            <w:tcW w:type="dxa" w:w="3135"/>
          </w:tcPr>
          <w:p>
            <w:r>
              <w:rPr>
                <w:rFonts w:ascii="Times New Roman" w:hAnsi="Times New Roman"/>
                <w:b w:val="0"/>
                <w:i w:val="0"/>
                <w:sz w:val="17"/>
              </w:rPr>
              <w:t>Kruskal-Wallis p = 0,035</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resposta é afirmativa e quantificável: atletas com maior pico de velocidade no T-CAR fatigam menos ao longo da semana. A fadiga física média decresce 0,65 ponto a cada 1 km/h de pico de velocidade (R² = 0,20; p = 0,026; ρ = -0,52), e o pico de velocidade discrimina bem os atletas de alta fadiga (AUC = 0,84). O limiar de aptidão que melhor separa os grupos situa-se em torno de 14,8 km/h (regressão logística, com razão de chances de 0,20 por km/h): abaixo dele predomina a alta fadiga; acima, a baixa (Figura 12). Na comparação por tercis, o grupo de baixa aptidão apresentou fadiga média de 6,8, contra 5,1 no grupo de alta aptidão (Kruskal-Wallis p = 0,035). Cabe uma distinção importante: o pico de velocidade prediz o nível de fadiga, mas não a taxa de acúmulo (a inclinação de D1 a D7 é semelhante entre atletas; ver Seção 4.9) — os mais aptos não deterioram mais devagar, e sim partem e permanecem em um patamar de fadiga mais baixo. Já a experiência de treino (anos) não se associou à fadiga (ρ = +0,29; p = 0,151), indicando que a proteção decorre da aptidão aeróbia atual, não do tempo de prática.</w:t>
      </w:r>
    </w:p>
    <w:p>
      <w:pPr>
        <w:spacing w:before="120" w:line="240" w:lineRule="auto"/>
        <w:jc w:val="center"/>
      </w:pPr>
      <w:r>
        <w:rPr>
          <w:rFonts w:ascii="Times New Roman" w:hAnsi="Times New Roman"/>
          <w:b w:val="0"/>
          <w:i w:val="0"/>
          <w:sz w:val="20"/>
        </w:rPr>
        <w:t>Figura 13 – Relação entre o pico de velocidade e a fadiga física da semana: regressão com limiar (esquerda) e fadiga por tercil de aptidão (direita)</w:t>
      </w:r>
    </w:p>
    <w:p>
      <w:pPr>
        <w:jc w:val="center"/>
      </w:pPr>
      <w:r>
        <w:drawing>
          <wp:inline xmlns:a="http://schemas.openxmlformats.org/drawingml/2006/main" xmlns:pic="http://schemas.openxmlformats.org/drawingml/2006/picture">
            <wp:extent cx="5120640" cy="2624328"/>
            <wp:docPr id="23" name="Picture 23"/>
            <wp:cNvGraphicFramePr>
              <a:graphicFrameLocks noChangeAspect="1"/>
            </wp:cNvGraphicFramePr>
            <a:graphic>
              <a:graphicData uri="http://schemas.openxmlformats.org/drawingml/2006/picture">
                <pic:pic>
                  <pic:nvPicPr>
                    <pic:cNvPr id="0" name="x_pvlimiar.png"/>
                    <pic:cNvPicPr/>
                  </pic:nvPicPr>
                  <pic:blipFill>
                    <a:blip r:embed="rId31"/>
                    <a:stretch>
                      <a:fillRect/>
                    </a:stretch>
                  </pic:blipFill>
                  <pic:spPr>
                    <a:xfrm>
                      <a:off x="0" y="0"/>
                      <a:ext cx="5120640" cy="2624328"/>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4.18 Outros indicadores de monitoramento coletados na semana (TQR, Epworth, PSS)</w:t>
      </w:r>
    </w:p>
    <w:p>
      <w:pPr>
        <w:spacing w:before="120" w:line="240" w:lineRule="auto"/>
        <w:jc w:val="left"/>
      </w:pPr>
      <w:r>
        <w:rPr>
          <w:rFonts w:ascii="Times New Roman" w:hAnsi="Times New Roman"/>
          <w:b w:val="0"/>
          <w:i w:val="0"/>
          <w:sz w:val="20"/>
        </w:rPr>
        <w:t>Tabela 21 – Comportamento na semana dos demais indicadores de monitoramento: recuperação percebida (TQR), sonolência (Epworth) e estresse percebido (PSS)</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1567"/>
        <w:gridCol w:w="1567"/>
        <w:gridCol w:w="1567"/>
        <w:gridCol w:w="1567"/>
        <w:gridCol w:w="1567"/>
        <w:gridCol w:w="1567"/>
      </w:tblGrid>
      <w:tr>
        <w:tc>
          <w:tcPr>
            <w:tcW w:type="dxa" w:w="1567"/>
          </w:tcPr>
          <w:p>
            <w:r>
              <w:rPr>
                <w:rFonts w:ascii="Times New Roman" w:hAnsi="Times New Roman"/>
                <w:b/>
                <w:i w:val="0"/>
                <w:sz w:val="17"/>
              </w:rPr>
              <w:t>Indicador</w:t>
            </w:r>
          </w:p>
        </w:tc>
        <w:tc>
          <w:tcPr>
            <w:tcW w:type="dxa" w:w="1567"/>
          </w:tcPr>
          <w:p>
            <w:r>
              <w:rPr>
                <w:rFonts w:ascii="Times New Roman" w:hAnsi="Times New Roman"/>
                <w:b/>
                <w:i w:val="0"/>
                <w:sz w:val="17"/>
              </w:rPr>
              <w:t>Dia 1</w:t>
            </w:r>
          </w:p>
        </w:tc>
        <w:tc>
          <w:tcPr>
            <w:tcW w:type="dxa" w:w="1567"/>
          </w:tcPr>
          <w:p>
            <w:r>
              <w:rPr>
                <w:rFonts w:ascii="Times New Roman" w:hAnsi="Times New Roman"/>
                <w:b/>
                <w:i w:val="0"/>
                <w:sz w:val="17"/>
              </w:rPr>
              <w:t>Dia 7</w:t>
            </w:r>
          </w:p>
        </w:tc>
        <w:tc>
          <w:tcPr>
            <w:tcW w:type="dxa" w:w="1567"/>
          </w:tcPr>
          <w:p>
            <w:r>
              <w:rPr>
                <w:rFonts w:ascii="Times New Roman" w:hAnsi="Times New Roman"/>
                <w:b/>
                <w:i w:val="0"/>
                <w:sz w:val="17"/>
              </w:rPr>
              <w:t>Coef./dia</w:t>
            </w:r>
          </w:p>
        </w:tc>
        <w:tc>
          <w:tcPr>
            <w:tcW w:type="dxa" w:w="1567"/>
          </w:tcPr>
          <w:p>
            <w:r>
              <w:rPr>
                <w:rFonts w:ascii="Times New Roman" w:hAnsi="Times New Roman"/>
                <w:b/>
                <w:i w:val="0"/>
                <w:sz w:val="17"/>
              </w:rPr>
              <w:t>p</w:t>
            </w:r>
          </w:p>
        </w:tc>
        <w:tc>
          <w:tcPr>
            <w:tcW w:type="dxa" w:w="1567"/>
          </w:tcPr>
          <w:p>
            <w:r>
              <w:rPr>
                <w:rFonts w:ascii="Times New Roman" w:hAnsi="Times New Roman"/>
                <w:b/>
                <w:i w:val="0"/>
                <w:sz w:val="17"/>
              </w:rPr>
              <w:t>ρ × fadiga física</w:t>
            </w:r>
          </w:p>
        </w:tc>
      </w:tr>
      <w:tr>
        <w:tc>
          <w:tcPr>
            <w:tcW w:type="dxa" w:w="1567"/>
          </w:tcPr>
          <w:p>
            <w:r>
              <w:rPr>
                <w:rFonts w:ascii="Times New Roman" w:hAnsi="Times New Roman"/>
                <w:b w:val="0"/>
                <w:i w:val="0"/>
                <w:sz w:val="17"/>
              </w:rPr>
              <w:t>Recuperação (TQR)</w:t>
            </w:r>
          </w:p>
        </w:tc>
        <w:tc>
          <w:tcPr>
            <w:tcW w:type="dxa" w:w="1567"/>
          </w:tcPr>
          <w:p>
            <w:r>
              <w:rPr>
                <w:rFonts w:ascii="Times New Roman" w:hAnsi="Times New Roman"/>
                <w:b w:val="0"/>
                <w:i w:val="0"/>
                <w:sz w:val="17"/>
              </w:rPr>
              <w:t>13,4</w:t>
            </w:r>
          </w:p>
        </w:tc>
        <w:tc>
          <w:tcPr>
            <w:tcW w:type="dxa" w:w="1567"/>
          </w:tcPr>
          <w:p>
            <w:r>
              <w:rPr>
                <w:rFonts w:ascii="Times New Roman" w:hAnsi="Times New Roman"/>
                <w:b w:val="0"/>
                <w:i w:val="0"/>
                <w:sz w:val="17"/>
              </w:rPr>
              <w:t>9,6</w:t>
            </w:r>
          </w:p>
        </w:tc>
        <w:tc>
          <w:tcPr>
            <w:tcW w:type="dxa" w:w="1567"/>
          </w:tcPr>
          <w:p>
            <w:r>
              <w:rPr>
                <w:rFonts w:ascii="Times New Roman" w:hAnsi="Times New Roman"/>
                <w:b w:val="0"/>
                <w:i w:val="0"/>
                <w:sz w:val="17"/>
              </w:rPr>
              <w:t>-0,23</w:t>
            </w:r>
          </w:p>
        </w:tc>
        <w:tc>
          <w:tcPr>
            <w:tcW w:type="dxa" w:w="1567"/>
          </w:tcPr>
          <w:p>
            <w:r>
              <w:rPr>
                <w:rFonts w:ascii="Times New Roman" w:hAnsi="Times New Roman"/>
                <w:b w:val="0"/>
                <w:i w:val="0"/>
                <w:sz w:val="17"/>
              </w:rPr>
              <w:t>0,017</w:t>
            </w:r>
          </w:p>
        </w:tc>
        <w:tc>
          <w:tcPr>
            <w:tcW w:type="dxa" w:w="1567"/>
          </w:tcPr>
          <w:p>
            <w:r>
              <w:rPr>
                <w:rFonts w:ascii="Times New Roman" w:hAnsi="Times New Roman"/>
                <w:b w:val="0"/>
                <w:i w:val="0"/>
                <w:sz w:val="17"/>
              </w:rPr>
              <w:t>-0,69</w:t>
            </w:r>
          </w:p>
        </w:tc>
      </w:tr>
      <w:tr>
        <w:tc>
          <w:tcPr>
            <w:tcW w:type="dxa" w:w="1567"/>
          </w:tcPr>
          <w:p>
            <w:r>
              <w:rPr>
                <w:rFonts w:ascii="Times New Roman" w:hAnsi="Times New Roman"/>
                <w:b w:val="0"/>
                <w:i w:val="0"/>
                <w:sz w:val="17"/>
              </w:rPr>
              <w:t>Sonolência (Epworth)</w:t>
            </w:r>
          </w:p>
        </w:tc>
        <w:tc>
          <w:tcPr>
            <w:tcW w:type="dxa" w:w="1567"/>
          </w:tcPr>
          <w:p>
            <w:r>
              <w:rPr>
                <w:rFonts w:ascii="Times New Roman" w:hAnsi="Times New Roman"/>
                <w:b w:val="0"/>
                <w:i w:val="0"/>
                <w:sz w:val="17"/>
              </w:rPr>
              <w:t>9,1</w:t>
            </w:r>
          </w:p>
        </w:tc>
        <w:tc>
          <w:tcPr>
            <w:tcW w:type="dxa" w:w="1567"/>
          </w:tcPr>
          <w:p>
            <w:r>
              <w:rPr>
                <w:rFonts w:ascii="Times New Roman" w:hAnsi="Times New Roman"/>
                <w:b w:val="0"/>
                <w:i w:val="0"/>
                <w:sz w:val="17"/>
              </w:rPr>
              <w:t>11,5</w:t>
            </w:r>
          </w:p>
        </w:tc>
        <w:tc>
          <w:tcPr>
            <w:tcW w:type="dxa" w:w="1567"/>
          </w:tcPr>
          <w:p>
            <w:r>
              <w:rPr>
                <w:rFonts w:ascii="Times New Roman" w:hAnsi="Times New Roman"/>
                <w:b w:val="0"/>
                <w:i w:val="0"/>
                <w:sz w:val="17"/>
              </w:rPr>
              <w:t>+0,33</w:t>
            </w:r>
          </w:p>
        </w:tc>
        <w:tc>
          <w:tcPr>
            <w:tcW w:type="dxa" w:w="1567"/>
          </w:tcPr>
          <w:p>
            <w:r>
              <w:rPr>
                <w:rFonts w:ascii="Times New Roman" w:hAnsi="Times New Roman"/>
                <w:b w:val="0"/>
                <w:i w:val="0"/>
                <w:sz w:val="17"/>
              </w:rPr>
              <w:t>0,036</w:t>
            </w:r>
          </w:p>
        </w:tc>
        <w:tc>
          <w:tcPr>
            <w:tcW w:type="dxa" w:w="1567"/>
          </w:tcPr>
          <w:p>
            <w:r>
              <w:rPr>
                <w:rFonts w:ascii="Times New Roman" w:hAnsi="Times New Roman"/>
                <w:b w:val="0"/>
                <w:i w:val="0"/>
                <w:sz w:val="17"/>
              </w:rPr>
              <w:t>+0,22</w:t>
            </w:r>
          </w:p>
        </w:tc>
      </w:tr>
      <w:tr>
        <w:tc>
          <w:tcPr>
            <w:tcW w:type="dxa" w:w="1567"/>
          </w:tcPr>
          <w:p>
            <w:r>
              <w:rPr>
                <w:rFonts w:ascii="Times New Roman" w:hAnsi="Times New Roman"/>
                <w:b w:val="0"/>
                <w:i w:val="0"/>
                <w:sz w:val="17"/>
              </w:rPr>
              <w:t>Estresse (PSS)</w:t>
            </w:r>
          </w:p>
        </w:tc>
        <w:tc>
          <w:tcPr>
            <w:tcW w:type="dxa" w:w="1567"/>
          </w:tcPr>
          <w:p>
            <w:r>
              <w:rPr>
                <w:rFonts w:ascii="Times New Roman" w:hAnsi="Times New Roman"/>
                <w:b w:val="0"/>
                <w:i w:val="0"/>
                <w:sz w:val="17"/>
              </w:rPr>
              <w:t>22,6</w:t>
            </w:r>
          </w:p>
        </w:tc>
        <w:tc>
          <w:tcPr>
            <w:tcW w:type="dxa" w:w="1567"/>
          </w:tcPr>
          <w:p>
            <w:r>
              <w:rPr>
                <w:rFonts w:ascii="Times New Roman" w:hAnsi="Times New Roman"/>
                <w:b w:val="0"/>
                <w:i w:val="0"/>
                <w:sz w:val="17"/>
              </w:rPr>
              <w:t>21,7</w:t>
            </w:r>
          </w:p>
        </w:tc>
        <w:tc>
          <w:tcPr>
            <w:tcW w:type="dxa" w:w="1567"/>
          </w:tcPr>
          <w:p>
            <w:r>
              <w:rPr>
                <w:rFonts w:ascii="Times New Roman" w:hAnsi="Times New Roman"/>
                <w:b w:val="0"/>
                <w:i w:val="0"/>
                <w:sz w:val="17"/>
              </w:rPr>
              <w:t>-0,17</w:t>
            </w:r>
          </w:p>
        </w:tc>
        <w:tc>
          <w:tcPr>
            <w:tcW w:type="dxa" w:w="1567"/>
          </w:tcPr>
          <w:p>
            <w:r>
              <w:rPr>
                <w:rFonts w:ascii="Times New Roman" w:hAnsi="Times New Roman"/>
                <w:b w:val="0"/>
                <w:i w:val="0"/>
                <w:sz w:val="17"/>
              </w:rPr>
              <w:t>0,369</w:t>
            </w:r>
          </w:p>
        </w:tc>
        <w:tc>
          <w:tcPr>
            <w:tcW w:type="dxa" w:w="1567"/>
          </w:tcPr>
          <w:p>
            <w:r>
              <w:rPr>
                <w:rFonts w:ascii="Times New Roman" w:hAnsi="Times New Roman"/>
                <w:b w:val="0"/>
                <w:i w:val="0"/>
                <w:sz w:val="17"/>
              </w:rPr>
              <w:t>+0,05</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Além do humor e da fadiga, três indicadores foram coletados na mesma janela e completam o retrato do monitoramento (Figura 13). A recuperação percebida (TQR) deteriorou-se progressivamente (13,4 → 9,6; b = −0,23/dia; p = 0,017) e correlacionou-se fortemente e de forma inversa com a fadiga física (ρ = −0,69), integrando o mesmo eixo energia–fadiga — quanto mais fadiga, menos recuperação. A sonolência (Epworth) aumentou ao longo da semana (9,1 → 11,5; b = +0,33/dia; p = 0,036), sinalizando acúmulo crônico, com associação fraca à fadiga aguda (ρ = +0,22). Já o estresse percebido (PSS) permaneceu estável (22,6 → 21,7; b = −0,17/dia; p = 0,369) e independente da fadiga (ρ = +0,05), comportando-se como um traço que não rastreia o microciclo. Assim, a TQR é o indicador complementar mais informativo; a Epworth capta o acúmulo; e o PSS não serve para monitorar cargas agudas neste contexto.</w:t>
      </w:r>
    </w:p>
    <w:p>
      <w:pPr>
        <w:spacing w:before="120" w:line="240" w:lineRule="auto"/>
        <w:jc w:val="center"/>
      </w:pPr>
      <w:r>
        <w:rPr>
          <w:rFonts w:ascii="Times New Roman" w:hAnsi="Times New Roman"/>
          <w:b w:val="0"/>
          <w:i w:val="0"/>
          <w:sz w:val="20"/>
        </w:rPr>
        <w:t>Figura 14 – Comportamento semanal da recuperação (TQR), sonolência (Epworth) e estresse (PSS); reta tracejada = tendência linear</w:t>
      </w:r>
    </w:p>
    <w:p>
      <w:pPr>
        <w:jc w:val="center"/>
      </w:pPr>
      <w:r>
        <w:drawing>
          <wp:inline xmlns:a="http://schemas.openxmlformats.org/drawingml/2006/main" xmlns:pic="http://schemas.openxmlformats.org/drawingml/2006/picture">
            <wp:extent cx="5303520" cy="1856232"/>
            <wp:docPr id="24" name="Picture 24"/>
            <wp:cNvGraphicFramePr>
              <a:graphicFrameLocks noChangeAspect="1"/>
            </wp:cNvGraphicFramePr>
            <a:graphic>
              <a:graphicData uri="http://schemas.openxmlformats.org/drawingml/2006/picture">
                <pic:pic>
                  <pic:nvPicPr>
                    <pic:cNvPr id="0" name="x_wellness.png"/>
                    <pic:cNvPicPr/>
                  </pic:nvPicPr>
                  <pic:blipFill>
                    <a:blip r:embed="rId32"/>
                    <a:stretch>
                      <a:fillRect/>
                    </a:stretch>
                  </pic:blipFill>
                  <pic:spPr>
                    <a:xfrm>
                      <a:off x="0" y="0"/>
                      <a:ext cx="5303520" cy="1856232"/>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120" w:after="40"/>
        <w:jc w:val="left"/>
      </w:pPr>
      <w:r>
        <w:rPr>
          <w:rFonts w:ascii="Times New Roman" w:hAnsi="Times New Roman"/>
          <w:b/>
          <w:i w:val="0"/>
          <w:sz w:val="24"/>
        </w:rPr>
        <w:t>4.19 Análise bayesiana e de equivalência: afirmando o efeito e o nulo</w:t>
      </w:r>
    </w:p>
    <w:p>
      <w:pPr>
        <w:spacing w:before="120" w:line="240" w:lineRule="auto"/>
        <w:jc w:val="left"/>
      </w:pPr>
      <w:r>
        <w:rPr>
          <w:rFonts w:ascii="Times New Roman" w:hAnsi="Times New Roman"/>
          <w:b w:val="0"/>
          <w:i w:val="0"/>
          <w:sz w:val="20"/>
        </w:rPr>
        <w:t>Tabela 22 – Fatores de Bayes (BF₁₀) para a mudança da linha de base ao último dia e classificação da evidência (BF &gt; 3 = efeito; BF &lt; 1/3 = ausência)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left w:val="none"/>
          <w:right w:val="none"/>
          <w:insideV w:val="none"/>
        </w:tblBorders>
      </w:tblPr>
      <w:tblGrid>
        <w:gridCol w:w="3135"/>
        <w:gridCol w:w="3135"/>
        <w:gridCol w:w="3135"/>
      </w:tblGrid>
      <w:tr>
        <w:tc>
          <w:tcPr>
            <w:tcW w:type="dxa" w:w="3135"/>
          </w:tcPr>
          <w:p>
            <w:r>
              <w:rPr>
                <w:rFonts w:ascii="Times New Roman" w:hAnsi="Times New Roman"/>
                <w:b/>
                <w:i w:val="0"/>
                <w:sz w:val="17"/>
              </w:rPr>
              <w:t>Variável</w:t>
            </w:r>
          </w:p>
        </w:tc>
        <w:tc>
          <w:tcPr>
            <w:tcW w:type="dxa" w:w="3135"/>
          </w:tcPr>
          <w:p>
            <w:r>
              <w:rPr>
                <w:rFonts w:ascii="Times New Roman" w:hAnsi="Times New Roman"/>
                <w:b/>
                <w:i w:val="0"/>
                <w:sz w:val="17"/>
              </w:rPr>
              <w:t>BF₁₀</w:t>
            </w:r>
          </w:p>
        </w:tc>
        <w:tc>
          <w:tcPr>
            <w:tcW w:type="dxa" w:w="3135"/>
          </w:tcPr>
          <w:p>
            <w:r>
              <w:rPr>
                <w:rFonts w:ascii="Times New Roman" w:hAnsi="Times New Roman"/>
                <w:b/>
                <w:i w:val="0"/>
                <w:sz w:val="17"/>
              </w:rPr>
              <w:t>Evidência</w:t>
            </w:r>
          </w:p>
        </w:tc>
      </w:tr>
      <w:tr>
        <w:tc>
          <w:tcPr>
            <w:tcW w:type="dxa" w:w="3135"/>
          </w:tcPr>
          <w:p>
            <w:r>
              <w:rPr>
                <w:rFonts w:ascii="Times New Roman" w:hAnsi="Times New Roman"/>
                <w:b w:val="0"/>
                <w:i w:val="0"/>
                <w:sz w:val="17"/>
              </w:rPr>
              <w:t>Fadiga física</w:t>
            </w:r>
          </w:p>
        </w:tc>
        <w:tc>
          <w:tcPr>
            <w:tcW w:type="dxa" w:w="3135"/>
          </w:tcPr>
          <w:p>
            <w:r>
              <w:rPr>
                <w:rFonts w:ascii="Times New Roman" w:hAnsi="Times New Roman"/>
                <w:b w:val="0"/>
                <w:i w:val="0"/>
                <w:sz w:val="17"/>
              </w:rPr>
              <w:t>462818</w:t>
            </w:r>
          </w:p>
        </w:tc>
        <w:tc>
          <w:tcPr>
            <w:tcW w:type="dxa" w:w="3135"/>
          </w:tcPr>
          <w:p>
            <w:r>
              <w:rPr>
                <w:rFonts w:ascii="Times New Roman" w:hAnsi="Times New Roman"/>
                <w:b w:val="0"/>
                <w:i w:val="0"/>
                <w:sz w:val="17"/>
              </w:rPr>
              <w:t>evidência de efeito</w:t>
            </w:r>
          </w:p>
        </w:tc>
      </w:tr>
      <w:tr>
        <w:tc>
          <w:tcPr>
            <w:tcW w:type="dxa" w:w="3135"/>
          </w:tcPr>
          <w:p>
            <w:r>
              <w:rPr>
                <w:rFonts w:ascii="Times New Roman" w:hAnsi="Times New Roman"/>
                <w:b w:val="0"/>
                <w:i w:val="0"/>
                <w:sz w:val="17"/>
              </w:rPr>
              <w:t>Vigor</w:t>
            </w:r>
          </w:p>
        </w:tc>
        <w:tc>
          <w:tcPr>
            <w:tcW w:type="dxa" w:w="3135"/>
          </w:tcPr>
          <w:p>
            <w:r>
              <w:rPr>
                <w:rFonts w:ascii="Times New Roman" w:hAnsi="Times New Roman"/>
                <w:b w:val="0"/>
                <w:i w:val="0"/>
                <w:sz w:val="17"/>
              </w:rPr>
              <w:t>1081</w:t>
            </w:r>
          </w:p>
        </w:tc>
        <w:tc>
          <w:tcPr>
            <w:tcW w:type="dxa" w:w="3135"/>
          </w:tcPr>
          <w:p>
            <w:r>
              <w:rPr>
                <w:rFonts w:ascii="Times New Roman" w:hAnsi="Times New Roman"/>
                <w:b w:val="0"/>
                <w:i w:val="0"/>
                <w:sz w:val="17"/>
              </w:rPr>
              <w:t>evidência de efeito</w:t>
            </w:r>
          </w:p>
        </w:tc>
      </w:tr>
      <w:tr>
        <w:tc>
          <w:tcPr>
            <w:tcW w:type="dxa" w:w="3135"/>
          </w:tcPr>
          <w:p>
            <w:r>
              <w:rPr>
                <w:rFonts w:ascii="Times New Roman" w:hAnsi="Times New Roman"/>
                <w:b w:val="0"/>
                <w:i w:val="0"/>
                <w:sz w:val="17"/>
              </w:rPr>
              <w:t>Fadiga (BRUMS)</w:t>
            </w:r>
          </w:p>
        </w:tc>
        <w:tc>
          <w:tcPr>
            <w:tcW w:type="dxa" w:w="3135"/>
          </w:tcPr>
          <w:p>
            <w:r>
              <w:rPr>
                <w:rFonts w:ascii="Times New Roman" w:hAnsi="Times New Roman"/>
                <w:b w:val="0"/>
                <w:i w:val="0"/>
                <w:sz w:val="17"/>
              </w:rPr>
              <w:t>14,16</w:t>
            </w:r>
          </w:p>
        </w:tc>
        <w:tc>
          <w:tcPr>
            <w:tcW w:type="dxa" w:w="3135"/>
          </w:tcPr>
          <w:p>
            <w:r>
              <w:rPr>
                <w:rFonts w:ascii="Times New Roman" w:hAnsi="Times New Roman"/>
                <w:b w:val="0"/>
                <w:i w:val="0"/>
                <w:sz w:val="17"/>
              </w:rPr>
              <w:t>evidência de efeito</w:t>
            </w:r>
          </w:p>
        </w:tc>
      </w:tr>
      <w:tr>
        <w:tc>
          <w:tcPr>
            <w:tcW w:type="dxa" w:w="3135"/>
          </w:tcPr>
          <w:p>
            <w:r>
              <w:rPr>
                <w:rFonts w:ascii="Times New Roman" w:hAnsi="Times New Roman"/>
                <w:b w:val="0"/>
                <w:i w:val="0"/>
                <w:sz w:val="17"/>
              </w:rPr>
              <w:t>PTH/TMD</w:t>
            </w:r>
          </w:p>
        </w:tc>
        <w:tc>
          <w:tcPr>
            <w:tcW w:type="dxa" w:w="3135"/>
          </w:tcPr>
          <w:p>
            <w:r>
              <w:rPr>
                <w:rFonts w:ascii="Times New Roman" w:hAnsi="Times New Roman"/>
                <w:b w:val="0"/>
                <w:i w:val="0"/>
                <w:sz w:val="17"/>
              </w:rPr>
              <w:t>1,37</w:t>
            </w:r>
          </w:p>
        </w:tc>
        <w:tc>
          <w:tcPr>
            <w:tcW w:type="dxa" w:w="3135"/>
          </w:tcPr>
          <w:p>
            <w:r>
              <w:rPr>
                <w:rFonts w:ascii="Times New Roman" w:hAnsi="Times New Roman"/>
                <w:b w:val="0"/>
                <w:i w:val="0"/>
                <w:sz w:val="17"/>
              </w:rPr>
              <w:t>indeterminado</w:t>
            </w:r>
          </w:p>
        </w:tc>
      </w:tr>
      <w:tr>
        <w:tc>
          <w:tcPr>
            <w:tcW w:type="dxa" w:w="3135"/>
          </w:tcPr>
          <w:p>
            <w:r>
              <w:rPr>
                <w:rFonts w:ascii="Times New Roman" w:hAnsi="Times New Roman"/>
                <w:b w:val="0"/>
                <w:i w:val="0"/>
                <w:sz w:val="17"/>
              </w:rPr>
              <w:t>Fadiga mental</w:t>
            </w:r>
          </w:p>
        </w:tc>
        <w:tc>
          <w:tcPr>
            <w:tcW w:type="dxa" w:w="3135"/>
          </w:tcPr>
          <w:p>
            <w:r>
              <w:rPr>
                <w:rFonts w:ascii="Times New Roman" w:hAnsi="Times New Roman"/>
                <w:b w:val="0"/>
                <w:i w:val="0"/>
                <w:sz w:val="17"/>
              </w:rPr>
              <w:t>0,69</w:t>
            </w:r>
          </w:p>
        </w:tc>
        <w:tc>
          <w:tcPr>
            <w:tcW w:type="dxa" w:w="3135"/>
          </w:tcPr>
          <w:p>
            <w:r>
              <w:rPr>
                <w:rFonts w:ascii="Times New Roman" w:hAnsi="Times New Roman"/>
                <w:b w:val="0"/>
                <w:i w:val="0"/>
                <w:sz w:val="17"/>
              </w:rPr>
              <w:t>indeterminado</w:t>
            </w:r>
          </w:p>
        </w:tc>
      </w:tr>
      <w:tr>
        <w:tc>
          <w:tcPr>
            <w:tcW w:type="dxa" w:w="3135"/>
          </w:tcPr>
          <w:p>
            <w:r>
              <w:rPr>
                <w:rFonts w:ascii="Times New Roman" w:hAnsi="Times New Roman"/>
                <w:b w:val="0"/>
                <w:i w:val="0"/>
                <w:sz w:val="17"/>
              </w:rPr>
              <w:t>Tensão</w:t>
            </w:r>
          </w:p>
        </w:tc>
        <w:tc>
          <w:tcPr>
            <w:tcW w:type="dxa" w:w="3135"/>
          </w:tcPr>
          <w:p>
            <w:r>
              <w:rPr>
                <w:rFonts w:ascii="Times New Roman" w:hAnsi="Times New Roman"/>
                <w:b w:val="0"/>
                <w:i w:val="0"/>
                <w:sz w:val="17"/>
              </w:rPr>
              <w:t>5,93</w:t>
            </w:r>
          </w:p>
        </w:tc>
        <w:tc>
          <w:tcPr>
            <w:tcW w:type="dxa" w:w="3135"/>
          </w:tcPr>
          <w:p>
            <w:r>
              <w:rPr>
                <w:rFonts w:ascii="Times New Roman" w:hAnsi="Times New Roman"/>
                <w:b w:val="0"/>
                <w:i w:val="0"/>
                <w:sz w:val="17"/>
              </w:rPr>
              <w:t>evidência de efeito</w:t>
            </w:r>
          </w:p>
        </w:tc>
      </w:tr>
      <w:tr>
        <w:tc>
          <w:tcPr>
            <w:tcW w:type="dxa" w:w="3135"/>
          </w:tcPr>
          <w:p>
            <w:r>
              <w:rPr>
                <w:rFonts w:ascii="Times New Roman" w:hAnsi="Times New Roman"/>
                <w:b w:val="0"/>
                <w:i w:val="0"/>
                <w:sz w:val="17"/>
              </w:rPr>
              <w:t>Depressão</w:t>
            </w:r>
          </w:p>
        </w:tc>
        <w:tc>
          <w:tcPr>
            <w:tcW w:type="dxa" w:w="3135"/>
          </w:tcPr>
          <w:p>
            <w:r>
              <w:rPr>
                <w:rFonts w:ascii="Times New Roman" w:hAnsi="Times New Roman"/>
                <w:b w:val="0"/>
                <w:i w:val="0"/>
                <w:sz w:val="17"/>
              </w:rPr>
              <w:t>0,25</w:t>
            </w:r>
          </w:p>
        </w:tc>
        <w:tc>
          <w:tcPr>
            <w:tcW w:type="dxa" w:w="3135"/>
          </w:tcPr>
          <w:p>
            <w:r>
              <w:rPr>
                <w:rFonts w:ascii="Times New Roman" w:hAnsi="Times New Roman"/>
                <w:b w:val="0"/>
                <w:i w:val="0"/>
                <w:sz w:val="17"/>
              </w:rPr>
              <w:t>evidência de ausência</w:t>
            </w:r>
          </w:p>
        </w:tc>
      </w:tr>
      <w:tr>
        <w:tc>
          <w:tcPr>
            <w:tcW w:type="dxa" w:w="3135"/>
          </w:tcPr>
          <w:p>
            <w:r>
              <w:rPr>
                <w:rFonts w:ascii="Times New Roman" w:hAnsi="Times New Roman"/>
                <w:b w:val="0"/>
                <w:i w:val="0"/>
                <w:sz w:val="17"/>
              </w:rPr>
              <w:t>Raiva</w:t>
            </w:r>
          </w:p>
        </w:tc>
        <w:tc>
          <w:tcPr>
            <w:tcW w:type="dxa" w:w="3135"/>
          </w:tcPr>
          <w:p>
            <w:r>
              <w:rPr>
                <w:rFonts w:ascii="Times New Roman" w:hAnsi="Times New Roman"/>
                <w:b w:val="0"/>
                <w:i w:val="0"/>
                <w:sz w:val="17"/>
              </w:rPr>
              <w:t>0,22</w:t>
            </w:r>
          </w:p>
        </w:tc>
        <w:tc>
          <w:tcPr>
            <w:tcW w:type="dxa" w:w="3135"/>
          </w:tcPr>
          <w:p>
            <w:r>
              <w:rPr>
                <w:rFonts w:ascii="Times New Roman" w:hAnsi="Times New Roman"/>
                <w:b w:val="0"/>
                <w:i w:val="0"/>
                <w:sz w:val="17"/>
              </w:rPr>
              <w:t>evidência de ausência</w:t>
            </w:r>
          </w:p>
        </w:tc>
      </w:tr>
      <w:tr>
        <w:tc>
          <w:tcPr>
            <w:tcW w:type="dxa" w:w="3135"/>
          </w:tcPr>
          <w:p>
            <w:r>
              <w:rPr>
                <w:rFonts w:ascii="Times New Roman" w:hAnsi="Times New Roman"/>
                <w:b w:val="0"/>
                <w:i w:val="0"/>
                <w:sz w:val="17"/>
              </w:rPr>
              <w:t>Confusão</w:t>
            </w:r>
          </w:p>
        </w:tc>
        <w:tc>
          <w:tcPr>
            <w:tcW w:type="dxa" w:w="3135"/>
          </w:tcPr>
          <w:p>
            <w:r>
              <w:rPr>
                <w:rFonts w:ascii="Times New Roman" w:hAnsi="Times New Roman"/>
                <w:b w:val="0"/>
                <w:i w:val="0"/>
                <w:sz w:val="17"/>
              </w:rPr>
              <w:t>1,62</w:t>
            </w:r>
          </w:p>
        </w:tc>
        <w:tc>
          <w:tcPr>
            <w:tcW w:type="dxa" w:w="3135"/>
          </w:tcPr>
          <w:p>
            <w:r>
              <w:rPr>
                <w:rFonts w:ascii="Times New Roman" w:hAnsi="Times New Roman"/>
                <w:b w:val="0"/>
                <w:i w:val="0"/>
                <w:sz w:val="17"/>
              </w:rPr>
              <w:t>indeterminado</w:t>
            </w:r>
          </w:p>
        </w:tc>
      </w:tr>
    </w:tbl>
    <w:p>
      <w:pPr>
        <w:spacing w:after="120" w:line="240" w:lineRule="auto"/>
        <w:jc w:val="left"/>
      </w:pPr>
      <w:r>
        <w:rPr>
          <w:rFonts w:ascii="Times New Roman" w:hAnsi="Times New Roman"/>
          <w:b w:val="0"/>
          <w:i w:val="0"/>
          <w:sz w:val="20"/>
        </w:rPr>
        <w:t>Fonte: Dados da pesquisa (2026).</w:t>
      </w:r>
    </w:p>
    <w:p>
      <w:pPr>
        <w:spacing w:line="360" w:lineRule="auto"/>
        <w:ind w:firstLine="709"/>
        <w:jc w:val="both"/>
      </w:pPr>
      <w:r>
        <w:rPr>
          <w:rFonts w:ascii="Times New Roman" w:hAnsi="Times New Roman"/>
          <w:b w:val="0"/>
          <w:i w:val="0"/>
          <w:sz w:val="24"/>
        </w:rPr>
        <w:t>A abordagem bayesiana qualifica a natureza da (não) resposta de cada variável, distinguindo evidência de efeito de mera ausência de significância. Há evidência extrema a forte a favor de um efeito da linha de base ao último dia na fadiga física (BF₁₀ ≈ 4,6×10⁵), no vigor (≈ 1.081), na fadiga do BRUMS (14,2) e — por redução — na tensão (5,9). Por outro lado, há evidência a favor da AUSÊNCIA de efeito na depressão (BF₁₀ = 0,25) e na raiva (0,22), sustentando quantitativamente a leitura de custo somático, e não afetivo. A fadiga mental, a PTH e a confusão permaneceram indeterminadas (1/3 &lt; BF₁₀ &lt; 3), refletindo poder amostral insuficiente para afirmar o nulo — o teste de equivalência (TOST, ROPE ±0,2 DP) tampouco estabeleceu equivalência formal, dada a amostra de 25–27 atletas. A Figura 14 resume os fatores de Bayes em escala logarítmica.</w:t>
      </w:r>
    </w:p>
    <w:p>
      <w:pPr>
        <w:spacing w:before="120" w:line="240" w:lineRule="auto"/>
        <w:jc w:val="center"/>
      </w:pPr>
      <w:r>
        <w:rPr>
          <w:rFonts w:ascii="Times New Roman" w:hAnsi="Times New Roman"/>
          <w:b w:val="0"/>
          <w:i w:val="0"/>
          <w:sz w:val="20"/>
        </w:rPr>
        <w:t>Figura 15 – Fatores de Bayes (BF₁₀, escala logarítmica) para a mudança D1→D7; verde = evidência de efeito, vermelho = evidência de ausência, cinza = indeterminado</w:t>
      </w:r>
    </w:p>
    <w:p>
      <w:pPr>
        <w:jc w:val="center"/>
      </w:pPr>
      <w:r>
        <w:drawing>
          <wp:inline xmlns:a="http://schemas.openxmlformats.org/drawingml/2006/main" xmlns:pic="http://schemas.openxmlformats.org/drawingml/2006/picture">
            <wp:extent cx="5120640" cy="2432304"/>
            <wp:docPr id="25" name="Picture 25"/>
            <wp:cNvGraphicFramePr>
              <a:graphicFrameLocks noChangeAspect="1"/>
            </wp:cNvGraphicFramePr>
            <a:graphic>
              <a:graphicData uri="http://schemas.openxmlformats.org/drawingml/2006/picture">
                <pic:pic>
                  <pic:nvPicPr>
                    <pic:cNvPr id="0" name="x_bayes.png"/>
                    <pic:cNvPicPr/>
                  </pic:nvPicPr>
                  <pic:blipFill>
                    <a:blip r:embed="rId33"/>
                    <a:stretch>
                      <a:fillRect/>
                    </a:stretch>
                  </pic:blipFill>
                  <pic:spPr>
                    <a:xfrm>
                      <a:off x="0" y="0"/>
                      <a:ext cx="5120640" cy="2432304"/>
                    </a:xfrm>
                    <a:prstGeom prst="rect"/>
                  </pic:spPr>
                </pic:pic>
              </a:graphicData>
            </a:graphic>
          </wp:inline>
        </w:drawing>
      </w:r>
    </w:p>
    <w:p>
      <w:pPr>
        <w:spacing w:after="120" w:line="240" w:lineRule="auto"/>
        <w:jc w:val="center"/>
      </w:pPr>
      <w:r>
        <w:rPr>
          <w:rFonts w:ascii="Times New Roman" w:hAnsi="Times New Roman"/>
          <w:b w:val="0"/>
          <w:i w:val="0"/>
          <w:sz w:val="20"/>
        </w:rPr>
        <w:t>Fonte: Elaborado pelos autores (2026).</w:t>
      </w:r>
    </w:p>
    <w:p>
      <w:pPr>
        <w:spacing w:before="200" w:after="80"/>
        <w:jc w:val="left"/>
      </w:pPr>
      <w:r>
        <w:rPr>
          <w:rFonts w:ascii="Times New Roman" w:hAnsi="Times New Roman"/>
          <w:b/>
          <w:i w:val="0"/>
          <w:sz w:val="24"/>
        </w:rPr>
        <w:t>5 CONSIDERAÇÕES FINAIS</w:t>
      </w:r>
    </w:p>
    <w:p>
      <w:pPr>
        <w:spacing w:line="360" w:lineRule="auto"/>
        <w:ind w:firstLine="709"/>
        <w:jc w:val="both"/>
      </w:pPr>
      <w:r>
        <w:rPr>
          <w:rFonts w:ascii="Times New Roman" w:hAnsi="Times New Roman"/>
          <w:b w:val="0"/>
          <w:i w:val="0"/>
          <w:sz w:val="24"/>
        </w:rPr>
        <w:t>O perfil de humor deteriorou-se de forma coerente e concentrada no eixo energia–fadiga, tanto ao longo da semana quanto na comparação da linha de base ao último dia. A fadiga física foi a variável mais sensível e responsiva, com maior fração de sinal e melhor relação sinal-ruído, seguida do vigor; a fadiga do BRUMS ocupou posição intermediária, e a PTH — embora útil como índice global — mostrou-se mais ruidosa, enquanto a fadiga mental e as subescalas negativas foram pouco responsivas. O efeito crônico superou o agudo, indicando acúmulo, e as trajetórias inflectiram-se em torno do Dia 4. Recomenda-se acompanhar a fadiga física e o vigor por tendência individual e por médias de coletas, com atenção reforçada a partir do meio da semana. Como limitações, trata-se de estudo descritivo, sem grupo de comparação e restrito a um único período de uma equipe masculina.</w:t>
      </w:r>
    </w:p>
    <w:p>
      <w:pPr>
        <w:spacing w:before="200" w:after="80"/>
        <w:jc w:val="left"/>
      </w:pPr>
      <w:r>
        <w:rPr>
          <w:rFonts w:ascii="Times New Roman" w:hAnsi="Times New Roman"/>
          <w:b/>
          <w:i w:val="0"/>
          <w:sz w:val="24"/>
        </w:rPr>
        <w:t xml:space="preserve">REFERÊNCIAS </w:t>
      </w:r>
    </w:p>
    <w:p>
      <w:pPr>
        <w:spacing w:line="240" w:lineRule="auto" w:after="120"/>
        <w:jc w:val="left"/>
      </w:pPr>
      <w:r>
        <w:rPr>
          <w:rFonts w:ascii="Times New Roman" w:hAnsi="Times New Roman"/>
          <w:b w:val="0"/>
          <w:i w:val="0"/>
          <w:sz w:val="24"/>
        </w:rPr>
        <w:t>CHAMARI, K. et al. Appropriate interpretation of aerobic capacity: allometric scaling in adult and young soccer players. British Journal of Sports Medicine, v. 39, n. 2, p. 97-101, 2005.</w:t>
      </w:r>
    </w:p>
    <w:p>
      <w:pPr>
        <w:spacing w:line="240" w:lineRule="auto" w:after="120"/>
        <w:jc w:val="left"/>
      </w:pPr>
      <w:r>
        <w:rPr>
          <w:rFonts w:ascii="Times New Roman" w:hAnsi="Times New Roman"/>
          <w:b w:val="0"/>
          <w:i w:val="0"/>
          <w:sz w:val="24"/>
        </w:rPr>
        <w:t>FOUSEKIS, A. et al. Week-by-week predictive value of external load ratios on injury risk in professional soccer: a logistic regression and ROC curve analysis approach. Medicina, v. 61, n. 11, art. 1954, 2025.</w:t>
      </w:r>
    </w:p>
    <w:p>
      <w:pPr>
        <w:spacing w:line="240" w:lineRule="auto" w:after="120"/>
        <w:jc w:val="left"/>
      </w:pPr>
      <w:r>
        <w:rPr>
          <w:rFonts w:ascii="Times New Roman" w:hAnsi="Times New Roman"/>
          <w:b w:val="0"/>
          <w:i w:val="0"/>
          <w:sz w:val="24"/>
        </w:rPr>
        <w:t>LOLLI, L.; BATTERHAM, A. M.; WESTON, K. L.; ATKINSON, G. Size exponents for scaling maximal oxygen uptake in over 6500 humans: a systematic review and meta-analysis. Sports Medicine, v. 47, n. 7, p. 1405-1419, 2017.</w:t>
      </w:r>
    </w:p>
    <w:p>
      <w:pPr>
        <w:spacing w:line="240" w:lineRule="auto" w:after="120"/>
        <w:jc w:val="left"/>
      </w:pPr>
      <w:r>
        <w:rPr>
          <w:rFonts w:ascii="Times New Roman" w:hAnsi="Times New Roman"/>
          <w:b w:val="0"/>
          <w:i w:val="0"/>
          <w:sz w:val="24"/>
        </w:rPr>
        <w:t>MORGAN, W. P. Selected psychological factors limiting performance: a mental health model. In: CLARKE, D. H.; ECKERT, H. M. (Ed.). Limits of human performance. Champaign: Human Kinetics, 1985. p. 70-80.</w:t>
      </w:r>
    </w:p>
    <w:p>
      <w:pPr>
        <w:spacing w:line="240" w:lineRule="auto" w:after="120"/>
        <w:jc w:val="left"/>
      </w:pPr>
      <w:r>
        <w:rPr>
          <w:rFonts w:ascii="Times New Roman" w:hAnsi="Times New Roman"/>
          <w:b w:val="0"/>
          <w:i w:val="0"/>
          <w:sz w:val="24"/>
        </w:rPr>
        <w:t>ROHLFS, I. C. P. M. et al. A Escala de Humor de Brunel (Brums): instrumento para detecção precoce da síndrome do excesso de treinamento. Revista Brasileira de Medicina do Esporte, v. 14, n. 3, p. 176-181, 2008.</w:t>
      </w:r>
    </w:p>
    <w:p>
      <w:pPr>
        <w:spacing w:line="240" w:lineRule="auto" w:after="120"/>
        <w:jc w:val="left"/>
      </w:pPr>
      <w:r>
        <w:rPr>
          <w:rFonts w:ascii="Times New Roman" w:hAnsi="Times New Roman"/>
          <w:b w:val="0"/>
          <w:i w:val="0"/>
          <w:sz w:val="24"/>
        </w:rPr>
        <w:t>TERRY, P. C.; LANE, A. M.; FOGARTY, G. J. Construct validity of the Profile of Mood States — Adolescents for use with adults. Psychology of Sport and Exercise, v. 4, n. 2, p. 125-139, 2003.</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