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comparando cada dimensão do BRUMS entre todos os dias e identificando 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treino), totalizando 286 observações.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-1,33) e a fadiga subiu (d = +0,78), confirmado por MANOVA (Wilks λ = 0,181; p &lt; 0,001). O vigor foi máximo no Dia 1 e a fadiga no Dia 7. Os seis perfis de humor descritos por Terry e Parsons-Smith (iceberg, iceberg invertido, submerso, superfície, Everest invertido e barbatana de tubarão) estiveram representados, e a prevalência deslocou-se do perfil iceberg (48% no baseline) para a barbatana de tubarão (22% no Dia 7), sem instalação dos perfis de maior risco à saúde mental (Everest invertido, submerso e iceberg invertido), embora a diferença categórica não tenha alcançado significância (χ² = 8,96; p = 0,111). Maior aptidão associou-se a menos fadiga (ρ = -0,51), com limiar de 14,9 km/h. A sonolência (Epworth) elevou-se ao longo da semana e associou-se a mais fadiga e pior humor, enquanto o estresse percebido (PSS-14) manteve-se estável, indicando que a resposta afetiva foi específica da carga de treino.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(perfil iceberg) para a fadiga funcional (perfil barbatana de tubarão); o vigor e a fadiga foram as dimensões mais sensíveis, e a aptidão intermitente ajudou a explicar a resposta, fundamentando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incluindo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2026), consolidando-se como um indicador de baixo custo e alta sensibilidade para a triagem do bem-estar psicológico e do risco de saúde mental em contextos de rendimento.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exigindo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preservando 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Diante da ampla adoção da BRUMS, mas da escassez de descrições detalhadas do comportamento do humor em um microciclo pré-competitivo de handebol de elite, o objetivo geral foi caracterizar e analisar o perfil de humor desses atletas ao longo da última semana de pré-temporada, descrevendo o comportamento de cada dimensão do BRUMS, comparando todos os dias entre si, identificando os dias de maior e menor expressão de cada estado de humor e relacionando a resposta à aptidão aeróbia intermitente. Especificamente, buscou-se: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(ix) analisar o T-CAR e o limiar de pico de velocidade; e (x) caracterizar a sonolência e o estresse percebido e sua relação com o humor. Hipotetizou-se que a deterioração se concentraria no eixo energia–fadiga, com migração do perfil iceberg para o de fadiga, e que a aptidão intermitente modularia 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 No mesmo diário eletrônico, registraram-se ainda a sonolência, pela Escala de Sonolência de Epworth em versão de 6 itens (probabilidade de cochilar em seis situações; 0–18), e o estresse percebido, pela Escala de Estresse Percebido de 14 itens (PSS-14; 0–56, com sete itens de pontuação invertida), tomados como marcadores de recuperação e de carga psicossocial. A composição corporal foi avaliada por antropometria (massa e estatura) e por dobras cutâneas (percentual de gordura), servindo à caracterização da amostra e ao ajuste alométrico do desempenho no T-CAR.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garantindo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dividindo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pelo índice de Youden — que maximiza a soma de sensibilidade e especificidade —, com a qualidade de discriminação avaliada pela área sob a curva ROC. Para separar o efeito da aptidão do efeito do tamanho corporal, o pico de velocidade foi ainda submetido a ajuste alométrico: estimou-se o expoente da relação alométrica pela regressão log(PV)–log(massa) e normalizou-se o PV pela massa elevada a esse expoente, comparando-se as associações do PV bruto e do PV normalizado com a fadiga e o vigor. A dinâmica temporal foi ainda modelada ajustando-se uma função polinomial às médias diárias de cada dimensão, da qual se obtiveram, por derivação, a taxa de variação instantânea (derivada primeira), os pontos críticos (máximos e mínimos) e o ponto de inflexão (raiz da derivada segunda). Adotou-se nível de significância de 5% (p &lt; 0,05), com as análises conduzidas em ambiente Python (bibliotecas pandas, NumPy,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28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9 dos 21 pares de dias e a fadiga em 6 — sempre no sentido de piora em relação aos primeiros dias —, confirmando 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evidenciando que o efeito se concentra no eixo energia–fadiga —, enquanto a tensão (p = 0,012) e a confusão (p = 0,017), significativas apenas sob α = 0,05, não resistiram à correção (Tabela 9; Figura 4). A resposta aguda pré → pós também foi multivariadamente significativa (Wilks λ = 0,539; p = 0,028), reforçando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7.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permitindo visualizar individualmente como cada estado de humor evolui. Nessas figuras, o efeito Dia 1 → Dia 7 é expresso pelo dz (mudança padronizada intraindividual), numericamente idêntico ao d relatado na análise multivariada (Tabela 9), e o valor de p é o do teste de Friedman apresentado na Tabela 6.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0,027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+0,38), mas no dia de maior fadiga torna-se forte (ρ = +0,76).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com reorganização de prevalência entre o baseline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baseline (Dia 1)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baseline e no último dia de treino: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Baseline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deslocou-se do iceberg (48% no baseline) para a barbatana de tubarão (22% no Dia 7), com o iceberg recuando para 22% (Figura 11; Tabela 12). Essa reorganização categórica, contudo, não alcançou significância estatística (χ² = 8,96; p = 0,111) — resultado esperado dado o pequeno número de observações distribuído por seis perfis, que reduz a contagem esperada por célula e a potência do teste qui-quadrado; a mudança é, portanto, uma tendência descritiva, coerente com a queda multivariada do vigor e a elevação da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(48%), mas, ao final do microciclo, eleva marcadamente a barbatana de tubarão (22%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 e limiar de pico de velocidade</w:t>
      </w:r>
    </w:p>
    <w:p>
      <w:pPr>
        <w:spacing w:before="160" w:after="40"/>
      </w:pPr>
      <w:r>
        <w:rPr>
          <w:sz w:val="22"/>
        </w:rPr>
        <w:t>Tabela 13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13. A regressão mostrou que atletas com maior pico de velocidade reportaram menos fadiga física (ρ = -0,51; p = 0,008) e mais vigor (ρ = +0,47; p = 0,017) ao longo da semana (Figura 13).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120" w:after="80" w:line="360" w:lineRule="auto"/>
      </w:pPr>
      <w:r>
        <w:rPr>
          <w:b/>
          <w:sz w:val="24"/>
        </w:rPr>
        <w:t>3.11 Sonolência (Epworth) e estresse percebido (PSS-14)</w:t>
      </w:r>
    </w:p>
    <w:p>
      <w:pPr>
        <w:spacing w:before="160" w:after="40"/>
      </w:pPr>
      <w:r>
        <w:rPr>
          <w:sz w:val="22"/>
        </w:rPr>
        <w:t>Tabela 14 – Sonolência (Epworth, 6 itens, 0–18) e estresse percebido (PSS-14, 0–56) no microciclo: descritivos por observação e por atleta, e variação entre os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(obs.)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 (mín–máx)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(atleta)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Friedman 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Sonolência (Epworth)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9,9 ± 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(0–18)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9,5 ± 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Estresse (PSS-14)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 (9–40)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0,677</w:t>
            </w:r>
          </w:p>
        </w:tc>
      </w:tr>
    </w:tbl>
    <w:p>
      <w:pPr>
        <w:spacing w:after="0"/>
      </w:pPr>
      <w:r>
        <w:rPr>
          <w:i/>
          <w:sz w:val="17"/>
        </w:rPr>
        <w:t>Friedman: teste da variação entre os sete dias. Epworth em versão de 6 itens (sem ponto de corte clínico padrão).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o_traj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Trajetória diária (média ± IC95%) da sonolência (Epworth) e do estresse percebido (PSS-14)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percebido, coletados no mesmo diário, tiveram comportamentos distintos ao longo do microciclo (Tabela 14; Figura 14). A sonolência (Epworth) elevou-se progressivamente do primeiro ao último dia (Friedman p = 0,027; W = 0,13), padrão compatível com o acúmulo de fadiga e de débito de sono ao fim da semana de carga. No plano interindividual (média semanal por atleta), atletas mais sonolentos reportaram mais fadiga (ρ = +0,52; p = 0,005) e pior humor global (PTH; ρ = +0,54; p = 0,004), o que posiciona a sonolência como um marcador de recuperação que acompanha a resposta afetiva à carga. O estresse percebido (PSS-14), ao contrário, manteve-se estável entre os dias (Friedman p = 0,677) e em patamar moderado, sem associação significativa com o vigor (ρ = -0,09; p = 0,643) ou com a fadiga (ρ = -0,15; p = 0,466); nenhuma das duas variáveis diferiu entre pré e pós-treino (Epworth p = 0,788; PSS p = 0,882), coerente com a natureza mais estável desses instrumentos. A estabilidade do estresse indica que a deterioração do humor no eixo energia–fadiga foi específica da carga de treino, e não reflexo de um aumento concomitante do estresse percebido.</w:t>
      </w:r>
    </w:p>
    <w:p>
      <w:pPr>
        <w:spacing w:before="120" w:after="80" w:line="360" w:lineRule="auto"/>
      </w:pPr>
      <w:r>
        <w:rPr>
          <w:b/>
          <w:sz w:val="24"/>
        </w:rPr>
        <w:t>3.12 Composição corporal e ajuste alométrico do pico de velocidade</w:t>
      </w:r>
    </w:p>
    <w:p>
      <w:pPr>
        <w:spacing w:before="160" w:after="40"/>
      </w:pPr>
      <w:r>
        <w:rPr>
          <w:sz w:val="22"/>
        </w:rPr>
        <w:t>Tabela 15 – Composição corporal da amostra (n = 25) e associação com a fadiga.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Amplitude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 ± 15,7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 kg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 ± 6,5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 cm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Gordura corporal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 ± 5,3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5,0–25,0 %</w:t>
            </w:r>
          </w:p>
        </w:tc>
      </w:tr>
    </w:tbl>
    <w:p>
      <w:pPr>
        <w:spacing w:after="0"/>
      </w:pPr>
      <w:r>
        <w:rPr>
          <w:i/>
          <w:sz w:val="17"/>
        </w:rPr>
        <w:t>Massa e estatura por antropometria; gordura corporal por dobras cutâneas.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caracterização da composição corporal (Tabela 15) mostrou massa de 85,8 kg e gordura corporal de 11,6%. Nem a massa (ρ = +0,32 com a fadiga física; p = 0,113) nem o percentual de gordura (ρ = +0,33; p = 0,113) associaram-se significativamente à fadiga, embora com tendência positiva. Como o pico de velocidade do T-CAR depende do porte corporal, examinou-se sua escala alométrica: o expoente da relação log(PV)–log(massa) foi de -0,19 (r = -0,48; p = 0,016), confirmando que atletas mais pesados atingem menor PV. Ao normalizar o PV pela massa elevada a esse expoente (PV·massa^0,19), a associação com o vigor manteve-se praticamente inalterada (ρ = +0,49; p = 0,012), ao passo que a associação com a fadiga física atenuou-se e perdeu significância (de ρ = -0,51 para ρ = -0,36; p = 0,082). Ou seja, o vínculo entre aptidão e vigor é um efeito genuíno de capacidade aeróbia, independente do tamanho corporal, enquanto parte da relação entre aptidão e fadiga física é atribuível ao porte do atleta.</w:t>
      </w:r>
    </w:p>
    <w:p>
      <w:pPr>
        <w:spacing w:before="120" w:after="80" w:line="360" w:lineRule="auto"/>
      </w:pPr>
      <w:r>
        <w:rPr>
          <w:b/>
          <w:sz w:val="24"/>
        </w:rPr>
        <w:t>3.13 Modelagem polinomial das trajetórias: derivadas e taxa de variação</w:t>
      </w:r>
    </w:p>
    <w:p>
      <w:pPr>
        <w:spacing w:before="160" w:after="40"/>
      </w:pPr>
      <w:r>
        <w:rPr>
          <w:sz w:val="22"/>
        </w:rPr>
        <w:t>Tabela 16 – Modelagem polinomial (grau 3) das médias diárias do eixo energia–fadiga: qualidade do ajuste (R²), taxa de variação média, taxa instantânea (P′) e aceleração (P″) nas bordas, e ponto de inflexão.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Taxa média/dia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P′(D7)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P″(D1)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P″(D7)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(dia)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0,96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-3,52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-2,40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-2,14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+0,64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+2,23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+2,11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-1,55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+1,51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4,0</w:t>
            </w:r>
          </w:p>
        </w:tc>
      </w:tr>
      <w:tr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+1,28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+5,10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+6,41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-4,25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+4,69</w:t>
            </w:r>
          </w:p>
        </w:tc>
        <w:tc>
          <w:tcPr>
            <w:tcW w:type="dxa" w:w="117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3,9</w:t>
            </w:r>
          </w:p>
        </w:tc>
      </w:tr>
    </w:tbl>
    <w:p>
      <w:pPr>
        <w:spacing w:after="0"/>
      </w:pPr>
      <w:r>
        <w:rPr>
          <w:i/>
          <w:sz w:val="17"/>
        </w:rPr>
        <w:t>P′ = derivada primeira (taxa de variação); P″ = derivada segunda (aceleração/concavidade); inflexão = raiz de P″ = 0. As dimensões negativas, com efeito de piso e ajuste fraco, foram omitidas.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214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pol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15 – Ajuste polinomial P(t) das médias diárias de vigor e fadiga, com a derivada P′(t) (taxa de variação) e o ponto de inflexão.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caracterizar formalmente a dinâmica temporal, ajustou-se uma função polinomial de grau 3 às médias diárias de cada dimensão e derivaram-se as respectivas taxas de variação (Tabela 16; Figura 15). A modelagem restringiu-se ao eixo energia–fadiga (vigor, fadiga e PTH), onde os ajustes foram excelentes (vigor R² = 0,96; fadiga R² = 0,95); as dimensões negativas, próximas do piso e com variância reduzida, ajustaram-se mal e foram omitidas da modelagem. O vigor caiu a uma taxa média de -0,64 ponto/dia, com a maior velocidade de queda no início da semana (P′ no Dia 1 = -3,52 ponto/dia) e desaceleração progressiva, ao passo que a fadiga subiu em espelho (taxa média = +0,64 ponto/dia; P′ no Dia 1 = +2,23). A derivada segunda localizou um ponto de inflexão em torno do dia 4,2 para ambas — o momento em que a taxa de deterioração deixa de acelerar —, o que fornece uma leitura quantitativa do ritmo do desgaste e sinaliza a metade do microciclo como o marco a partir do qual a resposta afetiva muda de regime.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derivada segunda (P″) descreve a aceleração da mudança e a concavidade da trajetória. No vigor, P″ é positiva no início (+2,51) — a queda, embora acentuada, desacelera rumo ao meio da semana — e torna-se negativa ao final (-2,14), quando a curva volta a se inclinar para o mínimo do Dia 7; a fadiga apresenta o padrão espelhado (P″ = -1,55 no Dia 1; +1,51 no Dia 7). A troca de sinal de P″ no dia ≈ 4 confirma, formalmente, a inflexão sincronizada das duas dimensões. Quanto ao comportamento conjunto, as curvas de taxa de variação (P′) do vigor e da fadiga são praticamente imagens especulares: a correlação entre elas é de -0,97, indicando que a perda de energia e o ganho de fadiga aceleram e desaceleram em uníssono ao longo do microciclo. Ambas acoplam-se fortemente à Perturbação Total do Humor (fadiga–PTH = +0,97; vigor–PTH = -0,88), o que confirma, no plano das derivadas, que energia e fadiga operam como um eixo único e integrado — o mesmo eixo que domina toda a resposta afetiva à carga.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comparando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incompleta, exigindo simultaneamente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reforçando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+0,38; raiva × fadiga ρ = +0,18); no dia de maior fadiga (Dia 7), esse acoplamento tornou-se forte (depressão × fadiga ρ = +0,76; raiva × fadiga ρ = +0,65).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o deslocamento de prevalência do iceberg (prontidão) para a barbatana de tubarão (fadiga funcional) ao longo da semana — uma tendência descritiva, já que a diferença categórica não atingiu significância — reproduz, em um microciclo de handebol, o “derretimento do iceberg” descrito na literatura de sobrecarga (MORGAN, 1985; HAN; PARSONS-SMITH; TERRY, 2020). 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acelerando a recuperação entre ações e retardando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 O ajuste alométrico refinou essa leitura: como o pico de velocidade escala negativamente com a massa (expoente -0,19), parte da relação entre aptidão e fadiga física reflete o porte corporal e não apenas a capacidade aeróbia — ao normalizar o PV pela massa, essa associação se atenua. Já a relação entre aptidão e vigor resistiu ao ajuste, evidenciando um efeito genuíno de capacidade aeróbia sobre o estado de energia, independentemente do tamanho do atleta.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 acrescentaram duas leituras convergentes com o padrão central. A sonolência (Epworth) acompanhou a semana de carga, elevando-se rumo ao último dia e associando-se, entre atletas, a mais fadiga e pior humor global — um marcador de recuperação/sono que corrobora, no plano comportamental, a deterioração do eixo energia–fadiga e reforça a recomendação de vigiar o sono na fase de acumulação (KELLMANN et al., 2018). Já o estresse percebido (PSS-14) permaneceu estável e moderado, sem se relacionar à oscilação do humor; essa ausência de variação é informativa, pois indica que a resposta afetiva ao microciclo teve origem na carga de treino, e não em um aumento concomitante do estresse psicossocial percebido — um argumento a favor da especificidade do achado.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A sonolência foi medida por uma versão de 6 itens do Epworth (sem ponto de corte clínico validado) e o estresse, pela PSS-14, cujo horizonte de referência é mais amplo que o microciclo; por isso, essas variáveis foram interpretadas por sua média semanal por atleta, e não por flutuações diárias.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migrou da prontidão para a fadiga, com o vigor em queda e a fadiga em ascensão, do início ao fim da semana e dentro de cada treino, confirmado por comparações entre todos os dias e por análise multivariada. Os dias críticos foram identificados — maior vigor no início e maior fadiga no final —, e a aptidão intermitente mostrou-se associada à fadiga, com um limiar de pico de velocidade útil para individualizar a carga. Recomenda-se o acompanhamento contínuo do humor, com atenção especial ao eixo energia–fadiga.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