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nsolas" w:hAnsi="Consolas"/>
          <w:b/>
          <w:color w:val="0E8C7A"/>
          <w:sz w:val="19"/>
        </w:rPr>
        <w:t>CARTA DE APRESENTAÇÃO  ·  MONITORAMENTO DO HUMOR</w:t>
      </w:r>
    </w:p>
    <w:p>
      <w:pPr>
        <w:spacing w:after="200"/>
      </w:pPr>
      <w:r>
        <w:rPr>
          <w:b/>
          <w:color w:val="222A33"/>
          <w:sz w:val="40"/>
        </w:rPr>
        <w:t>De onde vieram as análises e como foram feitas</w:t>
      </w:r>
    </w:p>
    <w:p>
      <w:pPr>
        <w:spacing w:after="40"/>
      </w:pPr>
      <w:r>
        <w:rPr>
          <w:color w:val="555F6B"/>
          <w:sz w:val="22"/>
        </w:rPr>
        <w:t>Microciclo pré-competitivo · 27 atletas de handebol · 21 a 27 de abril de 2024</w:t>
      </w:r>
    </w:p>
    <w:p>
      <w:pPr>
        <w:spacing w:before="80" w:after="200"/>
        <w:pBdr>
          <w:bottom w:val="single" w:sz="8" w:space="1" w:color="0E8C7A"/>
        </w:pBdr>
      </w:pPr>
    </w:p>
    <w:p>
      <w:pPr>
        <w:spacing w:after="160" w:line="307" w:lineRule="auto"/>
        <w:jc w:val="both"/>
      </w:pPr>
      <w:r>
        <w:rPr>
          <w:b w:val="0"/>
          <w:sz w:val="23"/>
        </w:rPr>
        <w:t xml:space="preserve">Professor(a), esta carta acompanha o painel interativo (dashboard) e serve como um guia rápido: explica </w:t>
      </w:r>
      <w:r>
        <w:rPr>
          <w:b/>
          <w:sz w:val="23"/>
        </w:rPr>
        <w:t>de onde vieram os dados</w:t>
      </w:r>
      <w:r>
        <w:rPr>
          <w:b w:val="0"/>
          <w:sz w:val="23"/>
        </w:rPr>
        <w:t xml:space="preserve">, </w:t>
      </w:r>
      <w:r>
        <w:rPr>
          <w:b/>
          <w:sz w:val="23"/>
        </w:rPr>
        <w:t>o que foi analisado</w:t>
      </w:r>
      <w:r>
        <w:rPr>
          <w:b w:val="0"/>
          <w:sz w:val="23"/>
        </w:rPr>
        <w:t xml:space="preserve"> e </w:t>
      </w:r>
      <w:r>
        <w:rPr>
          <w:b/>
          <w:sz w:val="23"/>
        </w:rPr>
        <w:t>por que cada análise foi escolhida</w:t>
      </w:r>
      <w:r>
        <w:rPr>
          <w:b w:val="0"/>
          <w:sz w:val="23"/>
        </w:rPr>
        <w:t>. A ideia é que qualquer pessoa consiga entender o caminho completo — da coleta ao resultado — sem precisar ser especialista em estatística.</w:t>
      </w:r>
    </w:p>
    <w:p>
      <w:pPr>
        <w:spacing w:before="280" w:after="80"/>
      </w:pPr>
      <w:r>
        <w:rPr>
          <w:b/>
          <w:color w:val="0E8C7A"/>
          <w:sz w:val="26"/>
        </w:rPr>
        <w:t>1 · De onde vieram os dados</w:t>
      </w:r>
    </w:p>
    <w:p>
      <w:pPr>
        <w:spacing w:after="160" w:line="307" w:lineRule="auto"/>
        <w:jc w:val="both"/>
      </w:pPr>
      <w:r>
        <w:rPr>
          <w:b w:val="0"/>
          <w:sz w:val="23"/>
        </w:rPr>
        <w:t xml:space="preserve">Todos os números partem de coletas reais feitas com a equipe durante </w:t>
      </w:r>
      <w:r>
        <w:rPr>
          <w:b/>
          <w:sz w:val="23"/>
        </w:rPr>
        <w:t>uma semana de pré-temporada</w:t>
      </w:r>
      <w:r>
        <w:rPr>
          <w:b w:val="0"/>
          <w:sz w:val="23"/>
        </w:rPr>
        <w:t xml:space="preserve"> (21 a 27/04/2024). Foram </w:t>
      </w:r>
      <w:r>
        <w:rPr>
          <w:b/>
          <w:sz w:val="23"/>
        </w:rPr>
        <w:t>27 atletas</w:t>
      </w:r>
      <w:r>
        <w:rPr>
          <w:b w:val="0"/>
          <w:sz w:val="23"/>
        </w:rPr>
        <w:t xml:space="preserve"> e </w:t>
      </w:r>
      <w:r>
        <w:rPr>
          <w:b/>
          <w:sz w:val="23"/>
        </w:rPr>
        <w:t>456 respostas</w:t>
      </w:r>
      <w:r>
        <w:rPr>
          <w:b w:val="0"/>
          <w:sz w:val="23"/>
        </w:rPr>
        <w:t xml:space="preserve"> de questionário. Cada atleta respondia até três vezes por dia (antes, no meio e depois do treino), o que permite ver o humor variando dentro do dia e ao longo da semana.</w:t>
      </w:r>
    </w:p>
    <w:p>
      <w:pPr>
        <w:pStyle w:val="ListBullet"/>
        <w:spacing w:after="60" w:line="288" w:lineRule="auto"/>
      </w:pPr>
      <w:r>
        <w:rPr>
          <w:b/>
          <w:sz w:val="23"/>
        </w:rPr>
        <w:t xml:space="preserve">BRUMS — </w:t>
      </w:r>
      <w:r>
        <w:rPr>
          <w:sz w:val="23"/>
        </w:rPr>
        <w:t>o humor propriamente dito: vigor, fadiga, tensão, depressão, raiva e confusão (e a soma delas, a Perturbação Total do Humor).</w:t>
      </w:r>
    </w:p>
    <w:p>
      <w:pPr>
        <w:pStyle w:val="ListBullet"/>
        <w:spacing w:after="60" w:line="288" w:lineRule="auto"/>
      </w:pPr>
      <w:r>
        <w:rPr>
          <w:b/>
          <w:sz w:val="23"/>
        </w:rPr>
        <w:t xml:space="preserve">Epworth — </w:t>
      </w:r>
      <w:r>
        <w:rPr>
          <w:sz w:val="23"/>
        </w:rPr>
        <w:t>sonolência diurna (o quanto o atleta está com sono ao longo do dia).</w:t>
      </w:r>
    </w:p>
    <w:p>
      <w:pPr>
        <w:pStyle w:val="ListBullet"/>
        <w:spacing w:after="60" w:line="288" w:lineRule="auto"/>
      </w:pPr>
      <w:r>
        <w:rPr>
          <w:b/>
          <w:sz w:val="23"/>
        </w:rPr>
        <w:t xml:space="preserve">PSS — </w:t>
      </w:r>
      <w:r>
        <w:rPr>
          <w:sz w:val="23"/>
        </w:rPr>
        <w:t>estresse percebido (o quanto o atleta se sente sobrecarregado psicologicamente).</w:t>
      </w:r>
    </w:p>
    <w:p>
      <w:pPr>
        <w:pStyle w:val="ListBullet"/>
        <w:spacing w:after="60" w:line="288" w:lineRule="auto"/>
      </w:pPr>
      <w:r>
        <w:rPr>
          <w:b/>
          <w:sz w:val="23"/>
        </w:rPr>
        <w:t xml:space="preserve">HIIT (FC e PSE) — </w:t>
      </w:r>
      <w:r>
        <w:rPr>
          <w:sz w:val="23"/>
        </w:rPr>
        <w:t>a carga interna das sessões de tiro: frequência cardíaca e esforço percebido, sessão por sessão.</w:t>
      </w:r>
    </w:p>
    <w:p>
      <w:pPr>
        <w:pStyle w:val="ListBullet"/>
        <w:spacing w:after="60" w:line="288" w:lineRule="auto"/>
      </w:pPr>
      <w:r>
        <w:rPr>
          <w:b/>
          <w:sz w:val="23"/>
        </w:rPr>
        <w:t xml:space="preserve">T-CAR — </w:t>
      </w:r>
      <w:r>
        <w:rPr>
          <w:sz w:val="23"/>
        </w:rPr>
        <w:t>o teste de aptidão aeróbia que definiu a intensidade do HIIT (104% do pico de velocidade).</w:t>
      </w:r>
    </w:p>
    <w:p>
      <w:pPr>
        <w:spacing w:before="120" w:after="120"/>
        <w:ind w:left="170" w:right="170"/>
        <w:shd w:val="clear" w:fill="F0F7F5"/>
      </w:pPr>
      <w:r>
        <w:rPr>
          <w:i/>
          <w:color w:val="555F6B"/>
          <w:sz w:val="21"/>
        </w:rPr>
        <w:t>Todos os dados foram tratados de forma anonimizada (cada atleta é um código A01–A27). Nenhum nome real foi usado nas análises nem no painel. A conferência dos bancos originais está registrada no documento de auditoria.</w:t>
      </w:r>
    </w:p>
    <w:p>
      <w:pPr>
        <w:spacing w:before="280" w:after="80"/>
      </w:pPr>
      <w:r>
        <w:rPr>
          <w:b/>
          <w:color w:val="0E8C7A"/>
          <w:sz w:val="26"/>
        </w:rPr>
        <w:t>2 · Como os dados foram organizados</w:t>
      </w:r>
    </w:p>
    <w:p>
      <w:pPr>
        <w:spacing w:after="160" w:line="307" w:lineRule="auto"/>
        <w:jc w:val="both"/>
      </w:pPr>
      <w:r>
        <w:rPr>
          <w:b w:val="0"/>
          <w:sz w:val="23"/>
        </w:rPr>
        <w:t xml:space="preserve">Antes de qualquer análise, foi feita uma </w:t>
      </w:r>
      <w:r>
        <w:rPr>
          <w:b/>
          <w:sz w:val="23"/>
        </w:rPr>
        <w:t>auditoria dos bancos originais</w:t>
      </w:r>
      <w:r>
        <w:rPr>
          <w:b w:val="0"/>
          <w:sz w:val="23"/>
        </w:rPr>
        <w:t xml:space="preserve"> para garantir que tudo batia. Nessa etapa três cuidados foram decisivos:</w:t>
      </w:r>
    </w:p>
    <w:p>
      <w:pPr>
        <w:pStyle w:val="ListBullet"/>
        <w:spacing w:after="60" w:line="288" w:lineRule="auto"/>
      </w:pPr>
      <w:r>
        <w:rPr>
          <w:b/>
          <w:sz w:val="23"/>
        </w:rPr>
        <w:t xml:space="preserve">O dia 1 é a linha de base. </w:t>
      </w:r>
      <w:r>
        <w:rPr>
          <w:sz w:val="23"/>
        </w:rPr>
        <w:t>Em 21/04 os atletas responderam o questionário, mas fizeram apenas uma sessão técnico-tática à noite; o primeiro HIIT foi em 22/04. Isso foi corrigido para não superestimar os efeitos.</w:t>
      </w:r>
    </w:p>
    <w:p>
      <w:pPr>
        <w:pStyle w:val="ListBullet"/>
        <w:spacing w:after="60" w:line="288" w:lineRule="auto"/>
      </w:pPr>
      <w:r>
        <w:rPr>
          <w:b/>
          <w:sz w:val="23"/>
        </w:rPr>
        <w:t xml:space="preserve">A média de cada dia usa todos os momentos. </w:t>
      </w:r>
      <w:r>
        <w:rPr>
          <w:sz w:val="23"/>
        </w:rPr>
        <w:t>Cada valor diário é a média do atleta no dia inteiro (não só o "antes do treino"), o que dá um retrato mais justo da semana.</w:t>
      </w:r>
    </w:p>
    <w:p>
      <w:pPr>
        <w:pStyle w:val="ListBullet"/>
        <w:spacing w:after="60" w:line="288" w:lineRule="auto"/>
      </w:pPr>
      <w:r>
        <w:rPr>
          <w:b/>
          <w:sz w:val="23"/>
        </w:rPr>
        <w:t xml:space="preserve">A semana tem 7 dias, não 8. </w:t>
      </w:r>
      <w:r>
        <w:rPr>
          <w:sz w:val="23"/>
        </w:rPr>
        <w:t>Os rótulos de planilha ("21–28") eram apenas nomes de intervalo; a coleta real vai de 21 a 27/04.</w:t>
      </w:r>
    </w:p>
    <w:p>
      <w:pPr>
        <w:spacing w:before="280" w:after="80"/>
      </w:pPr>
      <w:r>
        <w:rPr>
          <w:b/>
          <w:color w:val="0E8C7A"/>
          <w:sz w:val="26"/>
        </w:rPr>
        <w:t>3 · Quais análises foram feitas — e por que cada uma</w:t>
      </w:r>
    </w:p>
    <w:p>
      <w:pPr>
        <w:spacing w:after="160" w:line="307" w:lineRule="auto"/>
        <w:jc w:val="both"/>
      </w:pPr>
      <w:r>
        <w:rPr>
          <w:b w:val="0"/>
          <w:sz w:val="23"/>
        </w:rPr>
        <w:t xml:space="preserve">As escolhas estatísticas seguem o que a literatura recomenda para </w:t>
      </w:r>
      <w:r>
        <w:rPr>
          <w:b/>
          <w:sz w:val="23"/>
        </w:rPr>
        <w:t>amostras pequenas e medidas repetidas</w:t>
      </w:r>
      <w:r>
        <w:rPr>
          <w:b w:val="0"/>
          <w:sz w:val="23"/>
        </w:rPr>
        <w:t xml:space="preserve"> (o mesmo atleta medido vários dias). Em linguagem simples:</w:t>
      </w:r>
    </w:p>
    <w:p>
      <w:pPr>
        <w:pStyle w:val="ListBullet"/>
        <w:spacing w:after="60" w:line="288" w:lineRule="auto"/>
      </w:pPr>
      <w:r>
        <w:rPr>
          <w:b/>
          <w:sz w:val="23"/>
        </w:rPr>
        <w:t xml:space="preserve">Testes não paramétricos (Friedman, Wilcoxon). </w:t>
      </w:r>
      <w:r>
        <w:rPr>
          <w:sz w:val="23"/>
        </w:rPr>
        <w:t>Como são poucos atletas, não se assume que os dados sigam a "curva normal"; esses testes são mais seguros nesse cenário. Eles respondem: "o humor mudou de verdade ao longo da semana?".</w:t>
      </w:r>
    </w:p>
    <w:p>
      <w:pPr>
        <w:pStyle w:val="ListBullet"/>
        <w:spacing w:after="60" w:line="288" w:lineRule="auto"/>
      </w:pPr>
      <w:r>
        <w:rPr>
          <w:b/>
          <w:sz w:val="23"/>
        </w:rPr>
        <w:t xml:space="preserve">Tamanho de efeito (dz, W de Kendall). </w:t>
      </w:r>
      <w:r>
        <w:rPr>
          <w:sz w:val="23"/>
        </w:rPr>
        <w:t>O valor de p diz se a mudança é real; o tamanho de efeito diz se ela é grande ou pequena — é o que realmente importa na prática esportiva.</w:t>
      </w:r>
    </w:p>
    <w:p>
      <w:pPr>
        <w:pStyle w:val="ListBullet"/>
        <w:spacing w:after="60" w:line="288" w:lineRule="auto"/>
      </w:pPr>
      <w:r>
        <w:rPr>
          <w:b/>
          <w:sz w:val="23"/>
        </w:rPr>
        <w:t xml:space="preserve">Correlações (Spearman). </w:t>
      </w:r>
      <w:r>
        <w:rPr>
          <w:sz w:val="23"/>
        </w:rPr>
        <w:t>Para ver o que anda junto: por exemplo, sonolência sobe quando a fadiga sobe.</w:t>
      </w:r>
    </w:p>
    <w:p>
      <w:pPr>
        <w:pStyle w:val="ListBullet"/>
        <w:spacing w:after="60" w:line="288" w:lineRule="auto"/>
      </w:pPr>
      <w:r>
        <w:rPr>
          <w:b/>
          <w:sz w:val="23"/>
        </w:rPr>
        <w:t xml:space="preserve">Curvas, derivadas e inflexões. </w:t>
      </w:r>
      <w:r>
        <w:rPr>
          <w:sz w:val="23"/>
        </w:rPr>
        <w:t>Em vez de olhar só o começo e o fim, as curvas mostram a velocidade da mudança e o dia exato em que uma variável vira (o ponto de inflexão) — daí os cruzamentos entre vigor e fadiga.</w:t>
      </w:r>
    </w:p>
    <w:p>
      <w:pPr>
        <w:pStyle w:val="ListBullet"/>
        <w:spacing w:after="60" w:line="288" w:lineRule="auto"/>
      </w:pPr>
      <w:r>
        <w:rPr>
          <w:b/>
          <w:sz w:val="23"/>
        </w:rPr>
        <w:t xml:space="preserve">Análise por tipo de dia. </w:t>
      </w:r>
      <w:r>
        <w:rPr>
          <w:sz w:val="23"/>
        </w:rPr>
        <w:t>Separar dias de HIIT, de jogo amistoso e de recuperação para ver se o humor negativo se comporta diferente em cada um.</w:t>
      </w:r>
    </w:p>
    <w:p>
      <w:pPr>
        <w:pStyle w:val="ListBullet"/>
        <w:spacing w:after="60" w:line="288" w:lineRule="auto"/>
      </w:pPr>
      <w:r>
        <w:rPr>
          <w:b/>
          <w:sz w:val="23"/>
        </w:rPr>
        <w:t xml:space="preserve">Classificação de perfis de humor. </w:t>
      </w:r>
      <w:r>
        <w:rPr>
          <w:sz w:val="23"/>
        </w:rPr>
        <w:t>Cada atleta-dia é enquadrado em um perfil clássico (iceberg, iceberg invertido, etc.) para enxergar quem está bem e quem está em alerta.</w:t>
      </w:r>
    </w:p>
    <w:p>
      <w:pPr>
        <w:pStyle w:val="ListBullet"/>
        <w:spacing w:after="60" w:line="288" w:lineRule="auto"/>
      </w:pPr>
      <w:r>
        <w:rPr>
          <w:b/>
          <w:sz w:val="23"/>
        </w:rPr>
        <w:t xml:space="preserve">Modelos de predição / IoT. </w:t>
      </w:r>
      <w:r>
        <w:rPr>
          <w:sz w:val="23"/>
        </w:rPr>
        <w:t>Uma prova de conceito: usar o humor de hoje para sinalizar risco amanhã, como um sistema de monitoramento contínuo faria.</w:t>
      </w:r>
    </w:p>
    <w:p>
      <w:pPr>
        <w:spacing w:before="280" w:after="80"/>
      </w:pPr>
      <w:r>
        <w:rPr>
          <w:b/>
          <w:color w:val="0E8C7A"/>
          <w:sz w:val="26"/>
        </w:rPr>
        <w:t>4 · A leitura honesta dos resultados</w:t>
      </w:r>
    </w:p>
    <w:p>
      <w:pPr>
        <w:spacing w:after="160" w:line="307" w:lineRule="auto"/>
        <w:jc w:val="both"/>
      </w:pPr>
      <w:r>
        <w:rPr>
          <w:b w:val="0"/>
          <w:sz w:val="23"/>
        </w:rPr>
        <w:t xml:space="preserve">O achado central é consistente: ao longo da semana o </w:t>
      </w:r>
      <w:r>
        <w:rPr>
          <w:b/>
          <w:sz w:val="23"/>
        </w:rPr>
        <w:t>vigor cai e a fadiga sobe</w:t>
      </w:r>
      <w:r>
        <w:rPr>
          <w:b w:val="0"/>
          <w:sz w:val="23"/>
        </w:rPr>
        <w:t xml:space="preserve"> (o "iceberg" do humor se achata), a </w:t>
      </w:r>
      <w:r>
        <w:rPr>
          <w:b/>
          <w:sz w:val="23"/>
        </w:rPr>
        <w:t>sonolência aumenta</w:t>
      </w:r>
      <w:r>
        <w:rPr>
          <w:b w:val="0"/>
          <w:sz w:val="23"/>
        </w:rPr>
        <w:t xml:space="preserve"> acompanhando a fadiga, mas o </w:t>
      </w:r>
      <w:r>
        <w:rPr>
          <w:b/>
          <w:sz w:val="23"/>
        </w:rPr>
        <w:t>estresse percebido permanece estável</w:t>
      </w:r>
      <w:r>
        <w:rPr>
          <w:b w:val="0"/>
          <w:sz w:val="23"/>
        </w:rPr>
        <w:t xml:space="preserve"> e o humor negativo é até menor nos dias de jogo. Ou seja: o desgaste é sobretudo </w:t>
      </w:r>
      <w:r>
        <w:rPr>
          <w:b/>
          <w:sz w:val="23"/>
        </w:rPr>
        <w:t>físico-energético</w:t>
      </w:r>
      <w:r>
        <w:rPr>
          <w:b w:val="0"/>
          <w:sz w:val="23"/>
        </w:rPr>
        <w:t xml:space="preserve">, compatível com uma </w:t>
      </w:r>
      <w:r>
        <w:rPr>
          <w:b/>
          <w:sz w:val="23"/>
        </w:rPr>
        <w:t>sobrecarga funcional planejada</w:t>
      </w:r>
      <w:r>
        <w:rPr>
          <w:b w:val="0"/>
          <w:sz w:val="23"/>
        </w:rPr>
        <w:t xml:space="preserve"> — e não com um quadro de sofrimento psicológico.</w:t>
      </w:r>
    </w:p>
    <w:p>
      <w:pPr>
        <w:spacing w:before="120" w:after="120"/>
        <w:ind w:left="170" w:right="170"/>
        <w:shd w:val="clear" w:fill="F0F7F5"/>
      </w:pPr>
      <w:r>
        <w:rPr>
          <w:i/>
          <w:color w:val="555F6B"/>
          <w:sz w:val="21"/>
        </w:rPr>
        <w:t>Importante para a discussão: as análises de risco e predição são apresentadas como demonstração de viabilidade de triagem (rastreio), e não como associação causal comprovada com lesão. Os dados de lesão disponíveis são de um torneio posterior e não podem ser ligados diretamente a esta semana. Esse limite é declarado abertamente no painel.</w:t>
      </w:r>
    </w:p>
    <w:p>
      <w:pPr>
        <w:spacing w:before="280" w:after="80"/>
      </w:pPr>
      <w:r>
        <w:rPr>
          <w:b/>
          <w:color w:val="0E8C7A"/>
          <w:sz w:val="26"/>
        </w:rPr>
        <w:t>5 · Como usar o painel</w:t>
      </w:r>
    </w:p>
    <w:p>
      <w:pPr>
        <w:spacing w:after="160" w:line="307" w:lineRule="auto"/>
        <w:jc w:val="both"/>
      </w:pPr>
      <w:r>
        <w:rPr>
          <w:b w:val="0"/>
          <w:sz w:val="23"/>
        </w:rPr>
        <w:t xml:space="preserve">O dashboard reúne tudo isto de forma visual e navegável. Sugestão de percurso: comece pela </w:t>
      </w:r>
      <w:r>
        <w:rPr>
          <w:b/>
          <w:sz w:val="23"/>
        </w:rPr>
        <w:t>Apresentação guiada</w:t>
      </w:r>
      <w:r>
        <w:rPr>
          <w:b w:val="0"/>
          <w:sz w:val="23"/>
        </w:rPr>
        <w:t xml:space="preserve">, passe pela </w:t>
      </w:r>
      <w:r>
        <w:rPr>
          <w:b/>
          <w:sz w:val="23"/>
        </w:rPr>
        <w:t>Trajetória</w:t>
      </w:r>
      <w:r>
        <w:rPr>
          <w:b w:val="0"/>
          <w:sz w:val="23"/>
        </w:rPr>
        <w:t xml:space="preserve"> (onde é possível exibir todas as variáveis cruzando ao mesmo tempo e ver a tabela com os pontos de análise de cada uma), veja </w:t>
      </w:r>
      <w:r>
        <w:rPr>
          <w:b/>
          <w:sz w:val="23"/>
        </w:rPr>
        <w:t>Dias de HIIT × amistoso</w:t>
      </w:r>
      <w:r>
        <w:rPr>
          <w:b w:val="0"/>
          <w:sz w:val="23"/>
        </w:rPr>
        <w:t xml:space="preserve">, a </w:t>
      </w:r>
      <w:r>
        <w:rPr>
          <w:b/>
          <w:sz w:val="23"/>
        </w:rPr>
        <w:t>Sonolência e estresse</w:t>
      </w:r>
      <w:r>
        <w:rPr>
          <w:b w:val="0"/>
          <w:sz w:val="23"/>
        </w:rPr>
        <w:t xml:space="preserve">, os </w:t>
      </w:r>
      <w:r>
        <w:rPr>
          <w:b/>
          <w:sz w:val="23"/>
        </w:rPr>
        <w:t>Perfis de risco por atleta</w:t>
      </w:r>
      <w:r>
        <w:rPr>
          <w:b w:val="0"/>
          <w:sz w:val="23"/>
        </w:rPr>
        <w:t xml:space="preserve"> e feche em </w:t>
      </w:r>
      <w:r>
        <w:rPr>
          <w:b/>
          <w:sz w:val="23"/>
        </w:rPr>
        <w:t>Resultados &amp; Discussão</w:t>
      </w:r>
      <w:r>
        <w:rPr>
          <w:b w:val="0"/>
          <w:sz w:val="23"/>
        </w:rPr>
        <w:t>, que explica cada achado em texto didático.</w:t>
      </w:r>
    </w:p>
    <w:p>
      <w:pPr>
        <w:spacing w:before="200"/>
      </w:pPr>
      <w:r>
        <w:rPr>
          <w:i/>
          <w:color w:val="555F6B"/>
          <w:sz w:val="23"/>
        </w:rPr>
        <w:t>Fico à disposição para detalhar qualquer etapa — dos dados brutos aos testes estatísticos.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A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