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1"/>
        </w:rPr>
        <w:t>Tabela. Comportamento de cada dimensão do BRUMS ao longo da semana: mudança, significância (Friedman e Wilcoxon), forma temporal (inflexão) e qualidade do sinal.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Dimensão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D7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Δ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dz (D1→D7)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Wilcoxon p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Friedman χ²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W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Friedman p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Inflexão (dia)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Sinal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Vigor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7,6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4,5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-3,1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-0,95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0,001 *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14,7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0,13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0,022 *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4,3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alto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Fadiga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4,0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7,5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3,5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+0,72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0,004 *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13,2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0,12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0,04 *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3,8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alto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Tensão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2,2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0,9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-1,2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-0,59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0,011 *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13,2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0,12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0,039 *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4,7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moderado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Depressão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1,0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1,3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+0,10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 xml:space="preserve">0,752 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1,8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0,02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0,936 ns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2,3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moderado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Raiva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2,0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2,6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0,6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+0,02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 xml:space="preserve">0,802 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12,3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0,11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0,056 ns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2,9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moderado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Confusão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1,0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-0,5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-0,46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 xml:space="preserve">0,068 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25,8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0,23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0,0 ***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5,5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moderado</w:t>
            </w:r>
          </w:p>
        </w:tc>
      </w:tr>
    </w:tbl>
    <w:p>
      <w:r>
        <w:rPr>
          <w:i/>
          <w:sz w:val="18"/>
        </w:rPr>
        <w:t>Δ: variação D1→D7; dz: tamanho de efeito pareado (D1→D7); Wilcoxon: contraste pareado D1 vs D7; Friedman (χ², W de Kendall, p): teste de medidas repetidas ao longo dos sete dias (subconjunto balanceado); * p&lt;0,05, ** p&lt;0,01, *** p&lt;0,001, ns não significativo. Inflexão: dia em que a 2ª derivada da curva suavizada (spline) cruza zero; os valores exatos de inflexão e dos cruzamentos dependem da intensidade do filtro, ao passo que os testes (Friedman/Wilcoxon), calculados sobre os dados brutos, são independentes do suavizador. Sinal: qualidade da relação sinal-ruído (alto ≥ 8; moderado 5–8; baixo &lt; 5). Cruzamentos Vigor × Fadiga (curvas filtradas): dias 2,9, 3,6, 5,7.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