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40" w:lineRule="auto"/>
        <w:ind w:left="0" w:firstLine="0"/>
        <w:jc w:val="center"/>
      </w:pPr>
      <w:r>
        <w:rPr>
          <w:rFonts w:ascii="Times New Roman" w:hAnsi="Times New Roman"/>
          <w:b/>
          <w:sz w:val="28"/>
        </w:rPr>
        <w:t>ESTADOS DE HUMOR EM ATLETAS DE HANDEBOL NO TREINAMENTO E NA COMPETIÇÃO: REVISÃO SISTEMÁTICA</w:t>
      </w:r>
    </w:p>
    <w:p>
      <w:pPr>
        <w:spacing w:before="0" w:after="120" w:line="240" w:lineRule="auto"/>
        <w:ind w:left="0" w:firstLine="0"/>
        <w:jc w:val="center"/>
      </w:pPr>
      <w:r>
        <w:rPr>
          <w:rFonts w:ascii="Times New Roman" w:hAnsi="Times New Roman"/>
          <w:b/>
          <w:sz w:val="24"/>
        </w:rPr>
        <w:t>RESUMO</w:t>
      </w:r>
    </w:p>
    <w:p>
      <w:pPr>
        <w:spacing w:before="0" w:after="0" w:line="240" w:lineRule="auto"/>
        <w:ind w:left="0" w:firstLine="0"/>
        <w:jc w:val="both"/>
      </w:pPr>
      <w:r>
        <w:rPr>
          <w:rFonts w:ascii="Times New Roman" w:hAnsi="Times New Roman"/>
          <w:i w:val="0"/>
          <w:sz w:val="24"/>
        </w:rPr>
        <w:t>Esta revisão sistemática sintetizou as evidências sobre estados de humor em atletas e praticantes de handebol, com pergunta estruturada pelo acrônimo PCC. Oito bases foram consultadas entre maio e setembro de 2026, e a busca foi atualizada em outubro de 2026 em cinco fontes, com busca de citações. Todos os relatórios incluídos foram relidos na íntegra, com ficha padronizada, conferência dos números e reavaliação da qualidade, e a certeza da evidência foi julgada pela consistência, pela precisão, pela validade interna e pela direcionalidade. Foram incluídos 34 estudos (35 relatórios), publicados entre 2008 e 2026, concentrados na Espanha, na Tunísia e no Brasil, com predomínio de amostras femininas e mediana de 24 participantes. O Profile of Mood States foi usado em 18 estudos, em versões heterogêneas e com momento da medida nem sempre declarado. O encorajamento verbal e o feedback modificaram o humor durante a prática, com certeza baixa em escolares e muito baixa em atletas. A vitória, a carga de treino, as habilidades psicológicas e o convívio social associaram-se ao humor, com certeza baixa a muito baixa, e os achados sobre o ciclo menstrual, o horário do dia e as intervenções nutricionais, psicológicas e musicais tiveram certeza muito baixa. A qualidade foi alta em 14 estudos, moderada em 14 e baixa em 6, e a leitura integral identificou contradições entre resumos e resultados e estatísticas incompatíveis com os dados. O humor responde à carga, ao contexto competitivo e à interação com treinador e colegas, mas a evidência é escassa, heterogênea e raramente experimental.</w:t>
      </w:r>
    </w:p>
    <w:p>
      <w:pPr>
        <w:spacing w:before="120" w:after="360" w:line="240" w:lineRule="auto"/>
        <w:ind w:left="0" w:firstLine="0"/>
        <w:jc w:val="both"/>
      </w:pPr>
      <w:r>
        <w:rPr>
          <w:rFonts w:ascii="Times New Roman" w:hAnsi="Times New Roman"/>
          <w:b/>
          <w:sz w:val="24"/>
        </w:rPr>
        <w:t>Palavras-chave:</w:t>
      </w:r>
      <w:r>
        <w:rPr>
          <w:rFonts w:ascii="Times New Roman" w:hAnsi="Times New Roman"/>
          <w:i w:val="0"/>
          <w:sz w:val="24"/>
        </w:rPr>
        <w:t xml:space="preserve"> handebol; estados de humor; afeto; psicologia do esporte; revisão sistemática.</w:t>
      </w:r>
    </w:p>
    <w:p>
      <w:pPr>
        <w:spacing w:before="0" w:after="120" w:line="240" w:lineRule="auto"/>
        <w:ind w:left="0" w:firstLine="0"/>
        <w:jc w:val="center"/>
      </w:pPr>
      <w:r>
        <w:rPr>
          <w:rFonts w:ascii="Times New Roman" w:hAnsi="Times New Roman"/>
          <w:b/>
          <w:sz w:val="24"/>
        </w:rPr>
        <w:t>ABSTRACT</w:t>
      </w:r>
    </w:p>
    <w:p>
      <w:pPr>
        <w:spacing w:before="0" w:after="0" w:line="240" w:lineRule="auto"/>
        <w:ind w:left="0" w:firstLine="0"/>
        <w:jc w:val="both"/>
      </w:pPr>
      <w:r>
        <w:rPr>
          <w:rFonts w:ascii="Times New Roman" w:hAnsi="Times New Roman"/>
          <w:i w:val="0"/>
          <w:sz w:val="24"/>
        </w:rPr>
        <w:t>This systematic review synthesised the evidence on mood states in handball athletes and practitioners, with the question structured by the PCC framework. Eight databases were searched between May and September 2026, and the search was updated in October 2026 in five sources, with citation searching. All included reports were re-read in full with a standardised form, verification of every figure and reassessment of quality, and the certainty of the evidence was judged by consistency, precision, internal validity and directness. 34 studies (35 reports) published between 2008 and 2026 were included, mostly from Spain, Tunisia and Brazil, with predominantly female samples and a median of 24 participants. The Profile of Mood States was used in 18 studies, in heterogeneous versions and often without a stated timing of measurement. Verbal encouragement and feedback changed mood during practice, with low certainty in schoolchildren and very low certainty in athletes. Winning, training load, psychological skills and social contact were associated with mood, with low to very low certainty, and findings on the menstrual cycle, time of day and nutritional, psychological and music interventions had very low certainty. Quality was high in 14 studies, moderate in 14 and low in 6, and the full reading revealed contradictions between abstracts and results and statistics inconsistent with the data. Mood responds to load, competitive context and interaction with coaches and teammates, but the evidence is scarce, heterogeneous and rarely experimental.</w:t>
      </w:r>
    </w:p>
    <w:p>
      <w:pPr>
        <w:spacing w:before="120" w:after="240" w:line="240" w:lineRule="auto"/>
        <w:ind w:left="0" w:firstLine="0"/>
        <w:jc w:val="both"/>
      </w:pPr>
      <w:r>
        <w:rPr>
          <w:rFonts w:ascii="Times New Roman" w:hAnsi="Times New Roman"/>
          <w:b/>
          <w:sz w:val="24"/>
        </w:rPr>
        <w:t>Keywords:</w:t>
      </w:r>
      <w:r>
        <w:rPr>
          <w:rFonts w:ascii="Times New Roman" w:hAnsi="Times New Roman"/>
          <w:i w:val="0"/>
          <w:sz w:val="24"/>
        </w:rPr>
        <w:t xml:space="preserve"> handball; mood states; affect; sport psychology; systematic review.</w:t>
      </w:r>
    </w:p>
    <w:p>
      <w:pPr>
        <w:keepNext/>
        <w:spacing w:before="240" w:after="240" w:line="360" w:lineRule="auto"/>
        <w:ind w:left="0" w:firstLine="0"/>
        <w:jc w:val="left"/>
      </w:pPr>
      <w:r>
        <w:rPr>
          <w:rFonts w:ascii="Times New Roman" w:hAnsi="Times New Roman"/>
          <w:b/>
          <w:sz w:val="24"/>
        </w:rPr>
        <w:t>1 INTRODUÇÃO</w:t>
      </w:r>
    </w:p>
    <w:p>
      <w:pPr>
        <w:spacing w:before="0" w:after="0" w:line="360" w:lineRule="auto"/>
        <w:ind w:left="0" w:firstLine="709"/>
        <w:jc w:val="both"/>
      </w:pPr>
      <w:r>
        <w:rPr>
          <w:rFonts w:ascii="Times New Roman" w:hAnsi="Times New Roman"/>
          <w:i w:val="0"/>
          <w:sz w:val="24"/>
        </w:rPr>
        <w:t>O estado de humor designa uma disposição afetiva difusa, de intensidade moderada e duração variável, que persiste além do evento desencadeador e influencia a avaliação dos acontecimentos subsequentes (BEEDIE; TERRY; LANE, 2005; LAZARUS, 2000). Diferentemente da emoção, que responde a um objeto identificável e se extingue com ele, o humor é medido em dimensões separadas, como tensão, depressão, raiva, vigor, fadiga e confusão (LANE; TERRY, 2000; MEYERS; TAMIR, 2024). O modelo conceitual de Lane e Terry (2000) situou a depressão no centro dessa estrutura e deslocou a interpretação do escore isolado para a configuração do perfil, e a análise de agrupamentos identificou seis perfis de humor, do iceberg ao submerso, cuja prevalência variou com o sexo, a idade e a condição de atleta (LUOJUMÄKI et al., 2026; TERRY et al., 2021).</w:t>
      </w:r>
    </w:p>
    <w:p>
      <w:pPr>
        <w:spacing w:before="0" w:after="0" w:line="360" w:lineRule="auto"/>
        <w:ind w:left="0" w:firstLine="709"/>
        <w:jc w:val="both"/>
      </w:pPr>
      <w:r>
        <w:rPr>
          <w:rFonts w:ascii="Times New Roman" w:hAnsi="Times New Roman"/>
          <w:i w:val="0"/>
          <w:sz w:val="24"/>
        </w:rPr>
        <w:t>A medida do humor no esporte originou-se de um problema aplicado: a perturbação do perfil acompanhou o aumento programado da carga de treinamento e regrediu com a recuperação (MORGAN et al., 1987; RAGLIN, 2001). Seguiram-se a versão abreviada denominada Brunel Mood Scale (TERRY; LANE; FOGARTY, 2003), sua adaptação brasileira (ROHLFS et al., 2008) e normas que distinguem o sexo e a condição de atleta (TERRY; PARSONS-SMITH, 2021). As medidas autorrelatadas de humor e de recuperação mostraram-se mais sensíveis à carga que muitos marcadores objetivos (KELLMANN et al., 2018; SAW; MAIN; GASTIN, 2016), e o consenso do Comitê Olímpico Internacional recomendou o monitoramento rotineiro da saúde mental de atletas de elite com instrumentos validados (REARDON et al., 2026). As escalas de afeto positivo e negativo (WATSON; CLARK; TELLEGEN, 1988) e de valência afetiva durante o esforço (EKKEKAKIS; BRAND, 2019; HARDY; REJESKI, 1989) medem, contudo, construtos próprios, e tratá-las como equivalentes ao perfil de humor compromete a síntese.</w:t>
      </w:r>
    </w:p>
    <w:p>
      <w:pPr>
        <w:spacing w:before="0" w:after="0" w:line="360" w:lineRule="auto"/>
        <w:ind w:left="0" w:firstLine="709"/>
        <w:jc w:val="both"/>
      </w:pPr>
      <w:r>
        <w:rPr>
          <w:rFonts w:ascii="Times New Roman" w:hAnsi="Times New Roman"/>
          <w:i w:val="0"/>
          <w:sz w:val="24"/>
        </w:rPr>
        <w:t>A relação entre humor e desempenho permanece em debate. Metanálises associaram vigor elevado e baixos escores de tensão, depressão, raiva, fadiga e confusão a melhor desempenho, com efeitos pequenos a moderados, dependentes do tipo de esporte e do momento da medida (BEEDIE; TERRY; LANE, 2000; LOCHBAUM et al., 2021, 2022). O humor como sinal de sobrecarga carece, porém, de confirmação, pois nenhum estudo documentou a transição até a síndrome de overtraining com queda prolongada do desempenho (WEAKLEY; HALSON; MUJIKA, 2022). Nos esportes coletivos, o humor individual tampouco se forma isoladamente, pois as emoções coletivas da equipe após o jogo associaram-se às emoções de cada jogador (RUMBOLD et al., 2022).</w:t>
      </w:r>
    </w:p>
    <w:p>
      <w:pPr>
        <w:spacing w:before="0" w:after="0" w:line="360" w:lineRule="auto"/>
        <w:ind w:left="0" w:firstLine="709"/>
        <w:jc w:val="both"/>
      </w:pPr>
      <w:r>
        <w:rPr>
          <w:rFonts w:ascii="Times New Roman" w:hAnsi="Times New Roman"/>
          <w:i w:val="0"/>
          <w:sz w:val="24"/>
        </w:rPr>
        <w:t>No handebol, essas questões assumem forma específica. A modalidade é intermitente, de alta intensidade e de contato constante (MICHALSIK; AAGAARD; MADSEN, 2012; PÓVOAS et al., 2012), com demandas que variam conforme a posição e o sistema defensivo (SAAL et al., 2026; WAGNER; RADIC; HINZ, 2025). O regulamento impõe situações de pressão contínua, como o ataque com goleiro substituído (GÜMÜŞ; GENÇOĞLU, 2020; MACEDO et al., 2025), a inferioridade numérica nas exclusões (TREJO-SILVA et al., 2025) e o tempo técnico em jogos equilibrados (JETZKE; WINTER, 2022), e o jogador decide em frações de segundo sob oposição direta do adversário (HINZ et al., 2022; RAAB; JOHNSON, 2007). O clima criado pelo treinador e as interações do grupo modulam as emoções dos atletas (ROBAZZA et al., 2022; TAMMINEN et al., 2019), e, em handebolistas jovens, o clima orientado à tarefa associou-se a menos sintomas de ansiedade, depressão e estresse (GREBLO JURAKIĆ; BOJIĆ-ĆAĆIĆ; LJUBIČIĆ, 2026).</w:t>
      </w:r>
    </w:p>
    <w:p>
      <w:pPr>
        <w:spacing w:before="0" w:after="0" w:line="360" w:lineRule="auto"/>
        <w:ind w:left="0" w:firstLine="709"/>
        <w:jc w:val="both"/>
      </w:pPr>
      <w:r>
        <w:rPr>
          <w:rFonts w:ascii="Times New Roman" w:hAnsi="Times New Roman"/>
          <w:i w:val="0"/>
          <w:sz w:val="24"/>
        </w:rPr>
        <w:t>Essas exigências acumulam-se ao longo da temporada. As semanas com dois ou mais jogos ampliaram a variação interindividual da carga acumulada (BÜCHEL; DÖRING; BAUMEISTER, 2026), e quatro jogos de um torneio elevaram o cortisol e reduziram o fator de crescimento semelhante à insulina tipo 1 de jogadoras universitárias (PANCAR et al., 2026). Como o humor acompanha a carga e a recuperação (MORGAN et al., 1987; SAW; MAIN; GASTIN, 2016), é plausível que o estado afetivo do jogador oscile em intervalos curtos.</w:t>
      </w:r>
    </w:p>
    <w:p>
      <w:pPr>
        <w:spacing w:before="0" w:after="0" w:line="360" w:lineRule="auto"/>
        <w:ind w:left="0" w:firstLine="709"/>
        <w:jc w:val="both"/>
      </w:pPr>
      <w:r>
        <w:rPr>
          <w:rFonts w:ascii="Times New Roman" w:hAnsi="Times New Roman"/>
          <w:i w:val="0"/>
          <w:sz w:val="24"/>
        </w:rPr>
        <w:t xml:space="preserve">Apesar dessa relevância, a evidência permanece dispersa. A revisão de mapeamento conduzida em paralelo por esta equipe identificou o humor e o afeto entre os domínios psicológicos investigados na modalidade, sem avaliar a qualidade dos estudos. Há revisões sobre o humor no judô (LAKICEVIC et al., 2024) e no futebol (SELMI et al., 2023), mas as revisões em outras modalidades coletivas diluíram o humor em escores compostos de bem-estar (REBELO et al., 2024), e o protocolo de revisão sobre o monitoramento de atletas de handebol antecipou poucos estudos elegíveis e dados heterogêneos (HENZE et al., 2025). Até o momento, não foram identificadas revisões que reúnam, com critérios explícitos, a evidência sobre os estados de humor em atletas de handebol nem que avaliem a qualidade metodológica desses estudos, propósito para o qual a revisão sistemática se mostra adequada (MUNN et al., 2018a). Diante dessa lacuna, formulou-se a seguinte pergunta de pesquisa, estruturada pelo acrônimo PCC (população, conceito e contexto) (MUNN et al., 2018b; PETERS et al., 2020): </w:t>
      </w:r>
      <w:r>
        <w:rPr>
          <w:rFonts w:ascii="Times New Roman" w:hAnsi="Times New Roman"/>
          <w:i/>
          <w:sz w:val="24"/>
        </w:rPr>
        <w:t>como os estados de humor foram medidos em atletas e praticantes de handebol e quais resultados foram relatados sobre o humor e as variáveis a ele relacionadas nos contextos de treinamento e de competição?</w:t>
      </w:r>
    </w:p>
    <w:p>
      <w:pPr>
        <w:spacing w:before="0" w:after="0" w:line="360" w:lineRule="auto"/>
        <w:ind w:left="0" w:firstLine="709"/>
        <w:jc w:val="both"/>
      </w:pPr>
      <w:r>
        <w:rPr>
          <w:rFonts w:ascii="Times New Roman" w:hAnsi="Times New Roman"/>
          <w:i w:val="0"/>
          <w:sz w:val="24"/>
        </w:rPr>
        <w:t>O objetivo geral deste estudo foi sintetizar as evidências científicas sobre os estados de humor em atletas de handebol no treinamento e na competição e avaliar a qualidade metodológica dos estudos. Partiu-se da hipótese de que o humor responde à carga e ao contexto competitivo, mas que essa evidência se apoia sobretudo em estudos observacionais, com amostras pequenas e medidas heterogêneas. Para atender ao objetivo geral, foram definidas cinco questões de pesquisa (QP) (FERNÁNDEZ-SOTOS et al., 2019):</w:t>
      </w:r>
    </w:p>
    <w:p>
      <w:pPr>
        <w:spacing w:before="0" w:after="0" w:line="360" w:lineRule="auto"/>
        <w:ind w:left="0" w:firstLine="709"/>
        <w:jc w:val="both"/>
      </w:pPr>
      <w:r>
        <w:rPr>
          <w:rFonts w:ascii="Times New Roman" w:hAnsi="Times New Roman"/>
          <w:b/>
          <w:sz w:val="24"/>
        </w:rPr>
        <w:t>QP1.</w:t>
      </w:r>
      <w:r>
        <w:rPr>
          <w:rFonts w:ascii="Times New Roman" w:hAnsi="Times New Roman"/>
          <w:i w:val="0"/>
          <w:sz w:val="24"/>
        </w:rPr>
        <w:t xml:space="preserve"> Quais são as características dos estudos que investigaram o humor no handebol e de suas populações?</w:t>
      </w:r>
    </w:p>
    <w:p>
      <w:pPr>
        <w:spacing w:before="0" w:after="0" w:line="360" w:lineRule="auto"/>
        <w:ind w:left="0" w:firstLine="709"/>
        <w:jc w:val="both"/>
      </w:pPr>
      <w:r>
        <w:rPr>
          <w:rFonts w:ascii="Times New Roman" w:hAnsi="Times New Roman"/>
          <w:b/>
          <w:sz w:val="24"/>
        </w:rPr>
        <w:t>QP2.</w:t>
      </w:r>
      <w:r>
        <w:rPr>
          <w:rFonts w:ascii="Times New Roman" w:hAnsi="Times New Roman"/>
          <w:i w:val="0"/>
          <w:sz w:val="24"/>
        </w:rPr>
        <w:t xml:space="preserve"> Com quais instrumentos, em quais dimensões e em que momentos o humor foi medido?</w:t>
      </w:r>
    </w:p>
    <w:p>
      <w:pPr>
        <w:spacing w:before="0" w:after="0" w:line="360" w:lineRule="auto"/>
        <w:ind w:left="0" w:firstLine="709"/>
        <w:jc w:val="both"/>
      </w:pPr>
      <w:r>
        <w:rPr>
          <w:rFonts w:ascii="Times New Roman" w:hAnsi="Times New Roman"/>
          <w:b/>
          <w:sz w:val="24"/>
        </w:rPr>
        <w:t>QP3.</w:t>
      </w:r>
      <w:r>
        <w:rPr>
          <w:rFonts w:ascii="Times New Roman" w:hAnsi="Times New Roman"/>
          <w:i w:val="0"/>
          <w:sz w:val="24"/>
        </w:rPr>
        <w:t xml:space="preserve"> A que variáveis o humor foi relacionado (carga, recuperação, desempenho, marcadores biológicos, variáveis psicológicas, lesão e ciclo menstrual) e com que resultados?</w:t>
      </w:r>
    </w:p>
    <w:p>
      <w:pPr>
        <w:spacing w:before="0" w:after="0" w:line="360" w:lineRule="auto"/>
        <w:ind w:left="0" w:firstLine="709"/>
        <w:jc w:val="both"/>
      </w:pPr>
      <w:r>
        <w:rPr>
          <w:rFonts w:ascii="Times New Roman" w:hAnsi="Times New Roman"/>
          <w:b/>
          <w:sz w:val="24"/>
        </w:rPr>
        <w:t>QP4.</w:t>
      </w:r>
      <w:r>
        <w:rPr>
          <w:rFonts w:ascii="Times New Roman" w:hAnsi="Times New Roman"/>
          <w:i w:val="0"/>
          <w:sz w:val="24"/>
        </w:rPr>
        <w:t xml:space="preserve"> Quais intervenções foram testadas sobre o humor e com que efeitos?</w:t>
      </w:r>
    </w:p>
    <w:p>
      <w:pPr>
        <w:spacing w:before="0" w:after="0" w:line="360" w:lineRule="auto"/>
        <w:ind w:left="0" w:firstLine="709"/>
        <w:jc w:val="both"/>
      </w:pPr>
      <w:r>
        <w:rPr>
          <w:rFonts w:ascii="Times New Roman" w:hAnsi="Times New Roman"/>
          <w:b/>
          <w:sz w:val="24"/>
        </w:rPr>
        <w:t>QP5.</w:t>
      </w:r>
      <w:r>
        <w:rPr>
          <w:rFonts w:ascii="Times New Roman" w:hAnsi="Times New Roman"/>
          <w:i w:val="0"/>
          <w:sz w:val="24"/>
        </w:rPr>
        <w:t xml:space="preserve"> Qual é a qualidade metodológica dos estudos e quais lacunas persistem?</w:t>
      </w:r>
    </w:p>
    <w:p>
      <w:pPr>
        <w:keepNext/>
        <w:spacing w:before="240" w:after="240" w:line="360" w:lineRule="auto"/>
        <w:ind w:left="0" w:firstLine="0"/>
        <w:jc w:val="left"/>
      </w:pPr>
      <w:r>
        <w:rPr>
          <w:rFonts w:ascii="Times New Roman" w:hAnsi="Times New Roman"/>
          <w:b/>
          <w:sz w:val="24"/>
        </w:rPr>
        <w:t>2 MÉTODO</w:t>
      </w:r>
    </w:p>
    <w:p>
      <w:pPr>
        <w:keepNext/>
        <w:spacing w:before="240" w:after="120" w:line="360" w:lineRule="auto"/>
        <w:ind w:left="0" w:firstLine="0"/>
        <w:jc w:val="left"/>
      </w:pPr>
      <w:r>
        <w:rPr>
          <w:rFonts w:ascii="Times New Roman" w:hAnsi="Times New Roman"/>
          <w:b/>
          <w:sz w:val="24"/>
        </w:rPr>
        <w:t>2.1 Delineamento e diretrizes</w:t>
      </w:r>
    </w:p>
    <w:p>
      <w:pPr>
        <w:spacing w:before="0" w:after="0" w:line="360" w:lineRule="auto"/>
        <w:ind w:left="0" w:firstLine="709"/>
        <w:jc w:val="both"/>
      </w:pPr>
      <w:r>
        <w:rPr>
          <w:rFonts w:ascii="Times New Roman" w:hAnsi="Times New Roman"/>
          <w:i w:val="0"/>
          <w:sz w:val="24"/>
        </w:rPr>
        <w:t>A revisão sistemática seguiu o guia de Galvão e Ricarte (2019) e foi relatada conforme o PRISMA 2020 (PAGE et al., 2021), com o fluxo de seleção do modelo para revisões atualizadas, que distingue os estudos da versão anterior dos identificados na nova busca. A pergunta foi estruturada pelo acrônimo PCC, recomendado para perguntas de medida e de caracterização, sem intervenção atribuída nem comparação obrigatória (MUNN et al., 2018b; PETERS et al., 2020), e a opção pela revisão sistemática seguiu o critério de Munn et al. (2018a): a pergunta trata de um construto específico, medido em um conjunto delimitado de estudos, com avaliação da qualidade metodológica. A busca compartilhou a infraestrutura da revisão de mapeamento conduzida em paralelo pelo grupo, mas não seus critérios de elegibilidade. O protocolo foi redigido antes da busca, e seu registro prospectivo no PROSPERO não foi concluído.</w:t>
      </w:r>
    </w:p>
    <w:p>
      <w:pPr>
        <w:keepNext/>
        <w:spacing w:before="240" w:after="120" w:line="360" w:lineRule="auto"/>
        <w:ind w:left="0" w:firstLine="0"/>
        <w:jc w:val="left"/>
      </w:pPr>
      <w:r>
        <w:rPr>
          <w:rFonts w:ascii="Times New Roman" w:hAnsi="Times New Roman"/>
          <w:b/>
          <w:sz w:val="24"/>
        </w:rPr>
        <w:t>2.2 Estratégia de busca</w:t>
      </w:r>
    </w:p>
    <w:p>
      <w:pPr>
        <w:spacing w:before="0" w:after="0" w:line="360" w:lineRule="auto"/>
        <w:ind w:left="0" w:firstLine="709"/>
        <w:jc w:val="both"/>
      </w:pPr>
      <w:r>
        <w:rPr>
          <w:rFonts w:ascii="Times New Roman" w:hAnsi="Times New Roman"/>
          <w:i w:val="0"/>
          <w:sz w:val="24"/>
        </w:rPr>
        <w:t>A busca foi realizada nas bases Crossref, Europe PMC, LILACS, OpenAlex, PubMed, SciELO, Scopus e Web of Science (Coleção Principal), sem restrição de data, entre maio e setembro de 2026, com os descritores da Tabela 1, combinados em cinco estratégias e 45 consultas, e foi repetida na LILACS e na SciELO em português e em espanhol. As listas de referências dos estudos incluídos também foram examinadas. Os registros foram deduplicados pelo DOI, pelo identificador PubMed e pelo título normalizado.</w:t>
      </w:r>
    </w:p>
    <w:p>
      <w:pPr>
        <w:spacing w:before="0" w:after="0" w:line="360" w:lineRule="auto"/>
        <w:ind w:left="0" w:firstLine="709"/>
        <w:jc w:val="both"/>
      </w:pPr>
      <w:r>
        <w:rPr>
          <w:rFonts w:ascii="Times New Roman" w:hAnsi="Times New Roman"/>
          <w:i w:val="0"/>
          <w:sz w:val="24"/>
        </w:rPr>
        <w:t>A busca foi atualizada em outubro de 2026, sem restrição de data, no PubMed, no Europe PMC, no Crossref, no Semantic Scholar e no Dialnet, com filtro automático que reteve os registros em que o termo handebol aparecia associado a termo de humor, de afeto ou psicológico. A busca de citações percorreu as referências e as citações dos estudos incluídos no OpenCitations e, em segunda rodada, no Crossref, no Europe PMC e no Semantic Scholar, com consultas complementares no DOAJ, no CORE, no Redalyc, na SciELO e no Consensus. A Scopus, a Web of Science e a LILACS não foram consultadas na atualização, por exigirem acesso institucional ou bloquearem o acesso automatizado.</w:t>
      </w:r>
    </w:p>
    <w:p>
      <w:pPr>
        <w:keepNext/>
        <w:spacing w:before="120" w:after="60" w:line="240" w:lineRule="auto"/>
        <w:ind w:left="0" w:firstLine="0"/>
        <w:jc w:val="both"/>
      </w:pPr>
      <w:r>
        <w:rPr>
          <w:rFonts w:ascii="Times New Roman" w:hAnsi="Times New Roman"/>
          <w:b/>
          <w:sz w:val="20"/>
        </w:rPr>
        <w:t>Tabela 1</w:t>
      </w:r>
      <w:r>
        <w:rPr>
          <w:rFonts w:ascii="Times New Roman" w:hAnsi="Times New Roman"/>
          <w:i w:val="0"/>
          <w:sz w:val="20"/>
        </w:rPr>
        <w:t xml:space="preserve"> – Estratégia de busca adotada na revisão sistemática</w:t>
      </w:r>
    </w:p>
    <w:tbl>
      <w:tblPr>
        <w:jc w:val="center"/>
        <w:tblLayout w:type="fixed"/>
        <w:tblLook w:firstColumn="1" w:firstRow="1" w:lastColumn="0" w:lastRow="0" w:noHBand="0" w:noVBand="1" w:val="04A0"/>
        <w:tblW w:w="9072" w:type="dxa"/>
        <w:tblLayout w:type="fixed"/>
      </w:tblPr>
      <w:tblGrid>
        <w:gridCol w:w="453"/>
        <w:gridCol w:w="1927"/>
        <w:gridCol w:w="6690"/>
      </w:tblGrid>
      <w:tr>
        <w:trPr>
          <w:tblHeader w:val="true"/>
        </w:trPr>
        <w:tc>
          <w:tcPr>
            <w:tcW w:w="453" w:type="dxa"/>
            <w:tcBorders>
              <w:top w:val="single" w:sz="8" w:color="000000"/>
              <w:left w:val="nil"/>
              <w:bottom w:val="single" w:sz="6" w:color="000000"/>
              <w:right w:val="nil"/>
            </w:tcBorders>
          </w:tcPr>
          <w:p>
            <w:pPr>
              <w:spacing w:lineRule="exact" w:line="230"/>
              <w:jc w:val="center"/>
            </w:pPr>
            <w:r>
              <w:rPr>
                <w:rFonts w:ascii="Times New Roman" w:hAnsi="Times New Roman"/>
                <w:b/>
                <w:sz w:val="20"/>
              </w:rPr>
            </w:r>
          </w:p>
        </w:tc>
        <w:tc>
          <w:tcPr>
            <w:tcW w:w="1927" w:type="dxa"/>
            <w:tcBorders>
              <w:top w:val="single" w:sz="8" w:color="000000"/>
              <w:left w:val="nil"/>
              <w:bottom w:val="single" w:sz="6" w:color="000000"/>
              <w:right w:val="nil"/>
            </w:tcBorders>
          </w:tcPr>
          <w:p>
            <w:pPr>
              <w:spacing w:lineRule="exact" w:line="230"/>
              <w:jc w:val="center"/>
            </w:pPr>
            <w:r>
              <w:rPr>
                <w:rFonts w:ascii="Times New Roman" w:hAnsi="Times New Roman"/>
                <w:b/>
                <w:sz w:val="20"/>
              </w:rPr>
              <w:t>Termos de busca</w:t>
            </w:r>
          </w:p>
        </w:tc>
        <w:tc>
          <w:tcPr>
            <w:tcW w:w="6690" w:type="dxa"/>
            <w:tcBorders>
              <w:top w:val="single" w:sz="8" w:color="000000"/>
              <w:left w:val="nil"/>
              <w:bottom w:val="single" w:sz="6" w:color="000000"/>
              <w:right w:val="nil"/>
            </w:tcBorders>
          </w:tcPr>
          <w:p>
            <w:pPr>
              <w:spacing w:lineRule="exact" w:line="230"/>
              <w:jc w:val="center"/>
            </w:pPr>
            <w:r>
              <w:rPr>
                <w:rFonts w:ascii="Times New Roman" w:hAnsi="Times New Roman"/>
                <w:b/>
                <w:sz w:val="20"/>
              </w:rPr>
              <w:t>Descritores</w:t>
            </w:r>
          </w:p>
        </w:tc>
      </w:tr>
      <w:tr>
        <w:tc>
          <w:tcPr>
            <w:tcW w:w="453" w:type="dxa"/>
            <w:tcBorders>
              <w:top w:val="nil"/>
              <w:left w:val="nil"/>
              <w:bottom w:val="nil"/>
              <w:right w:val="nil"/>
            </w:tcBorders>
          </w:tcPr>
          <w:p>
            <w:pPr>
              <w:spacing w:lineRule="exact" w:line="230" w:before="20" w:after="20"/>
              <w:jc w:val="center"/>
            </w:pPr>
            <w:r>
              <w:rPr>
                <w:rFonts w:ascii="Times New Roman" w:hAnsi="Times New Roman"/>
                <w:i w:val="0"/>
                <w:sz w:val="20"/>
              </w:rPr>
              <w:t>1</w:t>
            </w:r>
          </w:p>
        </w:tc>
        <w:tc>
          <w:tcPr>
            <w:tcW w:w="1927" w:type="dxa"/>
            <w:tcBorders>
              <w:top w:val="nil"/>
              <w:left w:val="nil"/>
              <w:bottom w:val="nil"/>
              <w:right w:val="nil"/>
            </w:tcBorders>
          </w:tcPr>
          <w:p>
            <w:pPr>
              <w:spacing w:lineRule="exact" w:line="230" w:before="20" w:after="20"/>
              <w:jc w:val="left"/>
            </w:pPr>
            <w:r>
              <w:rPr>
                <w:rFonts w:ascii="Times New Roman" w:hAnsi="Times New Roman"/>
                <w:i w:val="0"/>
                <w:sz w:val="20"/>
              </w:rPr>
              <w:t>Handebol</w:t>
            </w:r>
          </w:p>
        </w:tc>
        <w:tc>
          <w:tcPr>
            <w:tcW w:w="6690" w:type="dxa"/>
            <w:tcBorders>
              <w:top w:val="nil"/>
              <w:left w:val="nil"/>
              <w:bottom w:val="nil"/>
              <w:right w:val="nil"/>
            </w:tcBorders>
          </w:tcPr>
          <w:p>
            <w:pPr>
              <w:spacing w:lineRule="exact" w:line="230" w:before="20" w:after="20"/>
              <w:jc w:val="left"/>
            </w:pPr>
            <w:r>
              <w:rPr>
                <w:rFonts w:ascii="Times New Roman" w:hAnsi="Times New Roman"/>
                <w:i w:val="0"/>
                <w:sz w:val="20"/>
              </w:rPr>
              <w:t>“handball” OR “team handball” OR “beach handball” OR “wheelchair handball” OR “handebol” OR “balonmano”</w:t>
            </w:r>
          </w:p>
        </w:tc>
      </w:tr>
      <w:tr>
        <w:tc>
          <w:tcPr>
            <w:tcW w:w="453" w:type="dxa"/>
            <w:tcBorders>
              <w:top w:val="single" w:sz="4" w:color="000000"/>
              <w:left w:val="nil"/>
              <w:bottom w:val="nil"/>
              <w:right w:val="nil"/>
            </w:tcBorders>
          </w:tcPr>
          <w:p>
            <w:pPr>
              <w:spacing w:lineRule="exact" w:line="230" w:before="20" w:after="20"/>
              <w:jc w:val="center"/>
            </w:pPr>
            <w:r>
              <w:rPr>
                <w:rFonts w:ascii="Times New Roman" w:hAnsi="Times New Roman"/>
                <w:i w:val="0"/>
                <w:sz w:val="20"/>
              </w:rPr>
              <w:t>2</w:t>
            </w:r>
          </w:p>
        </w:tc>
        <w:tc>
          <w:tcPr>
            <w:tcW w:w="1927"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Humor e afeto</w:t>
            </w:r>
          </w:p>
        </w:tc>
        <w:tc>
          <w:tcPr>
            <w:tcW w:w="6690"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“mood” OR “mood state</w:t>
            </w:r>
            <w:r>
              <w:rPr>
                <w:rFonts w:ascii="Times New Roman" w:hAnsi="Times New Roman"/>
                <w:i/>
                <w:sz w:val="20"/>
              </w:rPr>
              <w:t>” OR “affect</w:t>
            </w:r>
            <w:r>
              <w:rPr>
                <w:rFonts w:ascii="Times New Roman" w:hAnsi="Times New Roman"/>
                <w:i w:val="0"/>
                <w:sz w:val="20"/>
              </w:rPr>
              <w:t>” OR “affective response*” OR “positive affect” OR “negative affect” OR “feeling” OR “humor” OR “estado de ánimo” OR “estados de humor”</w:t>
            </w:r>
          </w:p>
        </w:tc>
      </w:tr>
      <w:tr>
        <w:tc>
          <w:tcPr>
            <w:tcW w:w="453" w:type="dxa"/>
            <w:tcBorders>
              <w:top w:val="single" w:sz="4" w:color="000000"/>
              <w:left w:val="nil"/>
              <w:bottom w:val="nil"/>
              <w:right w:val="nil"/>
            </w:tcBorders>
          </w:tcPr>
          <w:p>
            <w:pPr>
              <w:spacing w:lineRule="exact" w:line="230" w:before="20" w:after="20"/>
              <w:jc w:val="center"/>
            </w:pPr>
            <w:r>
              <w:rPr>
                <w:rFonts w:ascii="Times New Roman" w:hAnsi="Times New Roman"/>
                <w:i w:val="0"/>
                <w:sz w:val="20"/>
              </w:rPr>
              <w:t>3</w:t>
            </w:r>
          </w:p>
        </w:tc>
        <w:tc>
          <w:tcPr>
            <w:tcW w:w="1927"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Instrumentos</w:t>
            </w:r>
          </w:p>
        </w:tc>
        <w:tc>
          <w:tcPr>
            <w:tcW w:w="6690"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“Profile of Mood States” OR “POMS” OR “Brunel Mood Scale” OR “BRUMS” OR “PANAS” OR “Feeling Scale” OR “Self-Assessment Manikin”</w:t>
            </w:r>
          </w:p>
        </w:tc>
      </w:tr>
      <w:tr>
        <w:tc>
          <w:tcPr>
            <w:tcW w:w="453" w:type="dxa"/>
            <w:tcBorders>
              <w:top w:val="single" w:sz="4" w:color="000000"/>
              <w:left w:val="nil"/>
              <w:bottom w:val="nil"/>
              <w:right w:val="nil"/>
            </w:tcBorders>
          </w:tcPr>
          <w:p>
            <w:pPr>
              <w:spacing w:lineRule="exact" w:line="230" w:before="20" w:after="20"/>
              <w:jc w:val="center"/>
            </w:pPr>
            <w:r>
              <w:rPr>
                <w:rFonts w:ascii="Times New Roman" w:hAnsi="Times New Roman"/>
                <w:i w:val="0"/>
                <w:sz w:val="20"/>
              </w:rPr>
              <w:t>4</w:t>
            </w:r>
          </w:p>
        </w:tc>
        <w:tc>
          <w:tcPr>
            <w:tcW w:w="1927"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Dimensões do humor</w:t>
            </w:r>
          </w:p>
        </w:tc>
        <w:tc>
          <w:tcPr>
            <w:tcW w:w="6690"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“vigor” OR “tension” OR “anger” OR “depression” OR “confusion” OR “fatigue” OR “total mood disturbance”</w:t>
            </w:r>
          </w:p>
        </w:tc>
      </w:tr>
      <w:tr>
        <w:tc>
          <w:tcPr>
            <w:tcW w:w="453" w:type="dxa"/>
            <w:tcBorders>
              <w:top w:val="single" w:sz="4" w:color="000000"/>
              <w:left w:val="nil"/>
              <w:bottom w:val="single" w:sz="8" w:color="000000"/>
              <w:right w:val="nil"/>
            </w:tcBorders>
          </w:tcPr>
          <w:p>
            <w:pPr>
              <w:spacing w:lineRule="exact" w:line="230" w:before="20" w:after="20"/>
              <w:jc w:val="center"/>
            </w:pPr>
          </w:p>
        </w:tc>
        <w:tc>
          <w:tcPr>
            <w:tcW w:w="1927" w:type="dxa"/>
            <w:tcBorders>
              <w:top w:val="single" w:sz="4" w:color="000000"/>
              <w:left w:val="nil"/>
              <w:bottom w:val="single" w:sz="8" w:color="000000"/>
              <w:right w:val="nil"/>
            </w:tcBorders>
          </w:tcPr>
          <w:p>
            <w:pPr>
              <w:spacing w:lineRule="exact" w:line="230" w:before="20" w:after="20"/>
              <w:jc w:val="left"/>
            </w:pPr>
            <w:r>
              <w:rPr>
                <w:rFonts w:ascii="Times New Roman" w:hAnsi="Times New Roman"/>
                <w:i w:val="0"/>
                <w:sz w:val="20"/>
              </w:rPr>
              <w:t>Combinação</w:t>
            </w:r>
          </w:p>
        </w:tc>
        <w:tc>
          <w:tcPr>
            <w:tcW w:w="6690" w:type="dxa"/>
            <w:tcBorders>
              <w:top w:val="single" w:sz="4" w:color="000000"/>
              <w:left w:val="nil"/>
              <w:bottom w:val="single" w:sz="8" w:color="000000"/>
              <w:right w:val="nil"/>
            </w:tcBorders>
          </w:tcPr>
          <w:p>
            <w:pPr>
              <w:spacing w:lineRule="exact" w:line="230" w:before="20" w:after="20"/>
              <w:jc w:val="left"/>
            </w:pPr>
            <w:r>
              <w:rPr>
                <w:rFonts w:ascii="Times New Roman" w:hAnsi="Times New Roman"/>
                <w:i w:val="0"/>
                <w:sz w:val="20"/>
              </w:rPr>
              <w:t>#1 AND (#2 OR #3 OR #4)</w:t>
            </w:r>
          </w:p>
        </w:tc>
      </w:tr>
    </w:tbl>
    <w:p>
      <w:pPr>
        <w:spacing w:before="40" w:after="0" w:line="240" w:lineRule="auto"/>
        <w:ind w:left="0" w:firstLine="0"/>
        <w:jc w:val="both"/>
      </w:pPr>
      <w:r>
        <w:rPr>
          <w:rFonts w:ascii="Times New Roman" w:hAnsi="Times New Roman"/>
          <w:i w:val="0"/>
          <w:sz w:val="20"/>
        </w:rPr>
        <w:t>Nota: cada termo dos blocos 2 a 4 foi combinado com o bloco 1 em estratégias separadas, e uma quinta estratégia acrescentou o termo “review” à combinação #1 AND #2; as strings completas, base a base, constam do material suplementar.</w:t>
      </w:r>
    </w:p>
    <w:p>
      <w:pPr>
        <w:spacing w:before="0" w:after="160" w:line="240" w:lineRule="auto"/>
        <w:ind w:left="0" w:firstLine="0"/>
        <w:jc w:val="left"/>
      </w:pPr>
      <w:r>
        <w:rPr>
          <w:rFonts w:ascii="Times New Roman" w:hAnsi="Times New Roman"/>
          <w:i w:val="0"/>
          <w:sz w:val="20"/>
        </w:rPr>
        <w:t>Fonte: elaborada pelos autores (2026).</w:t>
      </w:r>
    </w:p>
    <w:p>
      <w:pPr>
        <w:keepNext/>
        <w:spacing w:before="240" w:after="120" w:line="360" w:lineRule="auto"/>
        <w:ind w:left="0" w:firstLine="0"/>
        <w:jc w:val="left"/>
      </w:pPr>
      <w:r>
        <w:rPr>
          <w:rFonts w:ascii="Times New Roman" w:hAnsi="Times New Roman"/>
          <w:b/>
          <w:sz w:val="24"/>
        </w:rPr>
        <w:t>2.3 Critérios de elegibilidade</w:t>
      </w:r>
    </w:p>
    <w:p>
      <w:pPr>
        <w:spacing w:before="0" w:after="0" w:line="360" w:lineRule="auto"/>
        <w:ind w:left="0" w:firstLine="709"/>
        <w:jc w:val="both"/>
      </w:pPr>
      <w:r>
        <w:rPr>
          <w:rFonts w:ascii="Times New Roman" w:hAnsi="Times New Roman"/>
          <w:i w:val="0"/>
          <w:sz w:val="24"/>
        </w:rPr>
        <w:t>Os critérios basearam-se no acrônimo PCC (PETERS et al., 2020) e estão descritos na Tabela 2. Foram aceitos artigos completos publicados em periódicos, em inglês, português ou espanhol, de qualquer delineamento, com atletas ou praticantes de handebol, que medissem o humor, o afeto ou o ânimo por instrumento declarado. A decisão de maior consequência foi a definição explícita do que conta como medida de humor, pois a fronteira entre humor e carga é tênue na literatura esportiva (KELLMANN et al., 2018; SAW; MAIN; GASTIN, 2016). O critério de tipo de documento, explicitado na revisão final, levou à exclusão de três relatórios antes incluídos: um preprint, um trabalho completo em anais e um resumo de congresso.</w:t>
      </w:r>
    </w:p>
    <w:p>
      <w:pPr>
        <w:keepNext/>
        <w:spacing w:before="120" w:after="60" w:line="240" w:lineRule="auto"/>
        <w:ind w:left="0" w:firstLine="0"/>
        <w:jc w:val="both"/>
      </w:pPr>
      <w:r>
        <w:rPr>
          <w:rFonts w:ascii="Times New Roman" w:hAnsi="Times New Roman"/>
          <w:b/>
          <w:sz w:val="20"/>
        </w:rPr>
        <w:t>Tabela 2</w:t>
      </w:r>
      <w:r>
        <w:rPr>
          <w:rFonts w:ascii="Times New Roman" w:hAnsi="Times New Roman"/>
          <w:i w:val="0"/>
          <w:sz w:val="20"/>
        </w:rPr>
        <w:t xml:space="preserve"> – Critérios de inclusão e de exclusão segundo o acrônimo PCC</w:t>
      </w:r>
    </w:p>
    <w:tbl>
      <w:tblPr>
        <w:jc w:val="center"/>
        <w:tblLayout w:type="fixed"/>
        <w:tblLook w:firstColumn="1" w:firstRow="1" w:lastColumn="0" w:lastRow="0" w:noHBand="0" w:noVBand="1" w:val="04A0"/>
        <w:tblW w:w="9072" w:type="dxa"/>
        <w:tblLayout w:type="fixed"/>
      </w:tblPr>
      <w:tblGrid>
        <w:gridCol w:w="453"/>
        <w:gridCol w:w="4082"/>
        <w:gridCol w:w="4536"/>
      </w:tblGrid>
      <w:tr>
        <w:trPr>
          <w:tblHeader w:val="true"/>
        </w:trPr>
        <w:tc>
          <w:tcPr>
            <w:tcW w:w="453" w:type="dxa"/>
            <w:tcBorders>
              <w:top w:val="single" w:sz="8" w:color="000000"/>
              <w:left w:val="nil"/>
              <w:bottom w:val="single" w:sz="6" w:color="000000"/>
              <w:right w:val="nil"/>
            </w:tcBorders>
          </w:tcPr>
          <w:p>
            <w:pPr>
              <w:spacing w:lineRule="exact" w:line="230"/>
              <w:jc w:val="center"/>
            </w:pPr>
            <w:r>
              <w:rPr>
                <w:rFonts w:ascii="Times New Roman" w:hAnsi="Times New Roman"/>
                <w:b/>
                <w:sz w:val="20"/>
              </w:rPr>
            </w:r>
          </w:p>
        </w:tc>
        <w:tc>
          <w:tcPr>
            <w:tcW w:w="4082" w:type="dxa"/>
            <w:tcBorders>
              <w:top w:val="single" w:sz="8" w:color="000000"/>
              <w:left w:val="nil"/>
              <w:bottom w:val="single" w:sz="6" w:color="000000"/>
              <w:right w:val="nil"/>
            </w:tcBorders>
          </w:tcPr>
          <w:p>
            <w:pPr>
              <w:spacing w:lineRule="exact" w:line="230"/>
              <w:jc w:val="center"/>
            </w:pPr>
            <w:r>
              <w:rPr>
                <w:rFonts w:ascii="Times New Roman" w:hAnsi="Times New Roman"/>
                <w:b/>
                <w:sz w:val="20"/>
              </w:rPr>
              <w:t>Critérios de inclusão</w:t>
            </w:r>
          </w:p>
        </w:tc>
        <w:tc>
          <w:tcPr>
            <w:tcW w:w="4536" w:type="dxa"/>
            <w:tcBorders>
              <w:top w:val="single" w:sz="8" w:color="000000"/>
              <w:left w:val="nil"/>
              <w:bottom w:val="single" w:sz="6" w:color="000000"/>
              <w:right w:val="nil"/>
            </w:tcBorders>
          </w:tcPr>
          <w:p>
            <w:pPr>
              <w:spacing w:lineRule="exact" w:line="230"/>
              <w:jc w:val="center"/>
            </w:pPr>
            <w:r>
              <w:rPr>
                <w:rFonts w:ascii="Times New Roman" w:hAnsi="Times New Roman"/>
                <w:b/>
                <w:sz w:val="20"/>
              </w:rPr>
              <w:t>Critérios de exclusão</w:t>
            </w:r>
          </w:p>
        </w:tc>
      </w:tr>
      <w:tr>
        <w:tc>
          <w:tcPr>
            <w:tcW w:w="453" w:type="dxa"/>
            <w:tcBorders>
              <w:top w:val="nil"/>
              <w:left w:val="nil"/>
              <w:bottom w:val="nil"/>
              <w:right w:val="nil"/>
            </w:tcBorders>
          </w:tcPr>
          <w:p>
            <w:pPr>
              <w:spacing w:lineRule="exact" w:line="230" w:before="20" w:after="20"/>
              <w:jc w:val="center"/>
            </w:pPr>
            <w:r>
              <w:rPr>
                <w:rFonts w:ascii="Times New Roman" w:hAnsi="Times New Roman"/>
                <w:i w:val="0"/>
                <w:sz w:val="20"/>
              </w:rPr>
              <w:t>P</w:t>
            </w:r>
          </w:p>
        </w:tc>
        <w:tc>
          <w:tcPr>
            <w:tcW w:w="4082" w:type="dxa"/>
            <w:tcBorders>
              <w:top w:val="nil"/>
              <w:left w:val="nil"/>
              <w:bottom w:val="nil"/>
              <w:right w:val="nil"/>
            </w:tcBorders>
          </w:tcPr>
          <w:p>
            <w:pPr>
              <w:spacing w:lineRule="exact" w:line="230" w:before="20" w:after="20"/>
              <w:jc w:val="left"/>
            </w:pPr>
            <w:r>
              <w:rPr>
                <w:rFonts w:ascii="Times New Roman" w:hAnsi="Times New Roman"/>
                <w:i w:val="0"/>
                <w:sz w:val="20"/>
              </w:rPr>
              <w:t>Atletas ou praticantes de handebol de quadra, de praia ou em cadeira de rodas, de qualquer sexo, idade e nível competitivo</w:t>
            </w:r>
          </w:p>
        </w:tc>
        <w:tc>
          <w:tcPr>
            <w:tcW w:w="4536" w:type="dxa"/>
            <w:tcBorders>
              <w:top w:val="nil"/>
              <w:left w:val="nil"/>
              <w:bottom w:val="nil"/>
              <w:right w:val="nil"/>
            </w:tcBorders>
          </w:tcPr>
          <w:p>
            <w:pPr>
              <w:spacing w:lineRule="exact" w:line="230" w:before="20" w:after="20"/>
              <w:jc w:val="left"/>
            </w:pPr>
            <w:r>
              <w:rPr>
                <w:rFonts w:ascii="Times New Roman" w:hAnsi="Times New Roman"/>
                <w:i w:val="0"/>
                <w:sz w:val="20"/>
              </w:rPr>
              <w:t>Amostras sem handebol ou multiesporte sem separação dos dados; árbitros, treinadores ou torcedores</w:t>
            </w:r>
          </w:p>
        </w:tc>
      </w:tr>
      <w:tr>
        <w:tc>
          <w:tcPr>
            <w:tcW w:w="453" w:type="dxa"/>
            <w:tcBorders>
              <w:top w:val="single" w:sz="4" w:color="000000"/>
              <w:left w:val="nil"/>
              <w:bottom w:val="nil"/>
              <w:right w:val="nil"/>
            </w:tcBorders>
          </w:tcPr>
          <w:p>
            <w:pPr>
              <w:spacing w:lineRule="exact" w:line="230" w:before="20" w:after="20"/>
              <w:jc w:val="center"/>
            </w:pPr>
            <w:r>
              <w:rPr>
                <w:rFonts w:ascii="Times New Roman" w:hAnsi="Times New Roman"/>
                <w:i w:val="0"/>
                <w:sz w:val="20"/>
              </w:rPr>
              <w:t>C</w:t>
            </w:r>
          </w:p>
        </w:tc>
        <w:tc>
          <w:tcPr>
            <w:tcW w:w="4082"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Humor, afeto ou ânimo medido por instrumento declarado (POMS e versões, BRUMS, PANAS, Feeling Scale, subescala afetiva do SAM ou dimensões isoladas do perfil de humor)</w:t>
            </w:r>
          </w:p>
        </w:tc>
        <w:tc>
          <w:tcPr>
            <w:tcW w:w="4536"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Índice de Hooper ou escalas de bem-estar sem dimensão afetiva; esforço percebido; fadiga mental por tarefa; ansiedade ou depressão clínica medidas isoladamente</w:t>
            </w:r>
          </w:p>
        </w:tc>
      </w:tr>
      <w:tr>
        <w:tc>
          <w:tcPr>
            <w:tcW w:w="453" w:type="dxa"/>
            <w:tcBorders>
              <w:top w:val="single" w:sz="4" w:color="000000"/>
              <w:left w:val="nil"/>
              <w:bottom w:val="nil"/>
              <w:right w:val="nil"/>
            </w:tcBorders>
          </w:tcPr>
          <w:p>
            <w:pPr>
              <w:spacing w:lineRule="exact" w:line="230" w:before="20" w:after="20"/>
              <w:jc w:val="center"/>
            </w:pPr>
            <w:r>
              <w:rPr>
                <w:rFonts w:ascii="Times New Roman" w:hAnsi="Times New Roman"/>
                <w:i w:val="0"/>
                <w:sz w:val="20"/>
              </w:rPr>
              <w:t>C</w:t>
            </w:r>
          </w:p>
        </w:tc>
        <w:tc>
          <w:tcPr>
            <w:tcW w:w="4082"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Treinamento, competição ou condição experimental, em qualquer país ou período da temporada</w:t>
            </w:r>
          </w:p>
        </w:tc>
        <w:tc>
          <w:tcPr>
            <w:tcW w:w="4536" w:type="dxa"/>
            <w:tcBorders>
              <w:top w:val="single" w:sz="4" w:color="000000"/>
              <w:left w:val="nil"/>
              <w:bottom w:val="nil"/>
              <w:right w:val="nil"/>
            </w:tcBorders>
          </w:tcPr>
          <w:p>
            <w:pPr>
              <w:spacing w:lineRule="exact" w:line="230" w:before="20" w:after="20"/>
              <w:jc w:val="left"/>
            </w:pPr>
            <w:r>
              <w:rPr>
                <w:rFonts w:ascii="Times New Roman" w:hAnsi="Times New Roman"/>
                <w:i w:val="0"/>
                <w:sz w:val="20"/>
              </w:rPr>
              <w:t>Contexto exclusivamente clínico ou de reabilitação</w:t>
            </w:r>
          </w:p>
        </w:tc>
      </w:tr>
      <w:tr>
        <w:tc>
          <w:tcPr>
            <w:tcW w:w="453" w:type="dxa"/>
            <w:tcBorders>
              <w:top w:val="single" w:sz="4" w:color="000000"/>
              <w:left w:val="nil"/>
              <w:bottom w:val="single" w:sz="8" w:color="000000"/>
              <w:right w:val="nil"/>
            </w:tcBorders>
          </w:tcPr>
          <w:p>
            <w:pPr>
              <w:spacing w:lineRule="exact" w:line="230" w:before="20" w:after="20"/>
              <w:jc w:val="center"/>
            </w:pPr>
            <w:r>
              <w:rPr>
                <w:rFonts w:ascii="Times New Roman" w:hAnsi="Times New Roman"/>
                <w:i w:val="0"/>
                <w:sz w:val="20"/>
              </w:rPr>
              <w:t>S</w:t>
            </w:r>
          </w:p>
        </w:tc>
        <w:tc>
          <w:tcPr>
            <w:tcW w:w="4082" w:type="dxa"/>
            <w:tcBorders>
              <w:top w:val="single" w:sz="4" w:color="000000"/>
              <w:left w:val="nil"/>
              <w:bottom w:val="single" w:sz="8" w:color="000000"/>
              <w:right w:val="nil"/>
            </w:tcBorders>
          </w:tcPr>
          <w:p>
            <w:pPr>
              <w:spacing w:lineRule="exact" w:line="230" w:before="20" w:after="20"/>
              <w:jc w:val="left"/>
            </w:pPr>
            <w:r>
              <w:rPr>
                <w:rFonts w:ascii="Times New Roman" w:hAnsi="Times New Roman"/>
                <w:i w:val="0"/>
                <w:sz w:val="20"/>
              </w:rPr>
              <w:t>Artigos completos publicados em periódicos, com dados primários, de qualquer delineamento, em inglês, português ou espanhol</w:t>
            </w:r>
          </w:p>
        </w:tc>
        <w:tc>
          <w:tcPr>
            <w:tcW w:w="4536" w:type="dxa"/>
            <w:tcBorders>
              <w:top w:val="single" w:sz="4" w:color="000000"/>
              <w:left w:val="nil"/>
              <w:bottom w:val="single" w:sz="8" w:color="000000"/>
              <w:right w:val="nil"/>
            </w:tcBorders>
          </w:tcPr>
          <w:p>
            <w:pPr>
              <w:spacing w:lineRule="exact" w:line="230" w:before="20" w:after="20"/>
              <w:jc w:val="left"/>
            </w:pPr>
            <w:r>
              <w:rPr>
                <w:rFonts w:ascii="Times New Roman" w:hAnsi="Times New Roman"/>
                <w:i w:val="0"/>
                <w:sz w:val="20"/>
              </w:rPr>
              <w:t>Teses, dissertações, trabalhos de conclusão de curso, livros e capítulos; trabalhos e resumos em anais; preprints; editoriais, protocolos, resenhas e revisões; outros idiomas</w:t>
            </w:r>
          </w:p>
        </w:tc>
      </w:tr>
    </w:tbl>
    <w:p>
      <w:pPr>
        <w:spacing w:before="40" w:after="0" w:line="240" w:lineRule="auto"/>
        <w:ind w:left="0" w:firstLine="0"/>
        <w:jc w:val="both"/>
      </w:pPr>
      <w:r>
        <w:rPr>
          <w:rFonts w:ascii="Times New Roman" w:hAnsi="Times New Roman"/>
          <w:i w:val="0"/>
          <w:sz w:val="20"/>
        </w:rPr>
        <w:t>Nota: P: população; C: conceito; C: contexto; S: tipo de estudo (</w:t>
      </w:r>
      <w:r>
        <w:rPr>
          <w:rFonts w:ascii="Times New Roman" w:hAnsi="Times New Roman"/>
          <w:i/>
          <w:sz w:val="20"/>
        </w:rPr>
        <w:t>study design</w:t>
      </w:r>
      <w:r>
        <w:rPr>
          <w:rFonts w:ascii="Times New Roman" w:hAnsi="Times New Roman"/>
          <w:i w:val="0"/>
          <w:sz w:val="20"/>
        </w:rPr>
        <w:t>); POMS: Profile of Mood States; BRUMS: Brunel Mood Scale; PANAS: Positive and Negative Affect Schedule; SAM: Self-Assessment Manikin.</w:t>
      </w:r>
    </w:p>
    <w:p>
      <w:pPr>
        <w:spacing w:before="0" w:after="160" w:line="240" w:lineRule="auto"/>
        <w:ind w:left="0" w:firstLine="0"/>
        <w:jc w:val="left"/>
      </w:pPr>
      <w:r>
        <w:rPr>
          <w:rFonts w:ascii="Times New Roman" w:hAnsi="Times New Roman"/>
          <w:i w:val="0"/>
          <w:sz w:val="20"/>
        </w:rPr>
        <w:t>Fonte: elaborada pelos autores (2026).</w:t>
      </w:r>
    </w:p>
    <w:p>
      <w:pPr>
        <w:keepNext/>
        <w:spacing w:before="240" w:after="120" w:line="360" w:lineRule="auto"/>
        <w:ind w:left="0" w:firstLine="0"/>
        <w:jc w:val="left"/>
      </w:pPr>
      <w:r>
        <w:rPr>
          <w:rFonts w:ascii="Times New Roman" w:hAnsi="Times New Roman"/>
          <w:b/>
          <w:sz w:val="24"/>
        </w:rPr>
        <w:t>2.4 Seleção, extração e análise dos dados</w:t>
      </w:r>
    </w:p>
    <w:p>
      <w:pPr>
        <w:spacing w:before="0" w:after="0" w:line="360" w:lineRule="auto"/>
        <w:ind w:left="0" w:firstLine="709"/>
        <w:jc w:val="both"/>
      </w:pPr>
      <w:r>
        <w:rPr>
          <w:rFonts w:ascii="Times New Roman" w:hAnsi="Times New Roman"/>
          <w:i w:val="0"/>
          <w:sz w:val="24"/>
        </w:rPr>
        <w:t>A triagem de títulos e resumos foi realizada em duas passagens independentes, assistidas por modelo de linguagem submetido aos critérios do protocolo, com as categorias incluir, excluir e dúvida; os registros em dúvida seguiram para o texto completo, e as divergências foram resolvidas por uma terceira avaliação (OUZZANI et al., 2016) (concordância de 0,988; κ = 0,959) (COHEN, 1960; LANDIS; KOCH, 1977). Esse coeficiente expressa a consistência do procedimento, e não a concordância entre avaliadores humanos (MCHUGH, 2012). Foram extraídos autoria, ano, país, tamanho, sexo, idade e nível da amostra, delineamento, contexto e momento da medida, instrumento e dimensões do humor, variáveis relacionadas, intervenção, resultados e direção do achado, e cada resultado foi vinculado a um trecho literal da fonte (Apêndice A). Em segunda etapa, todos os relatórios foram relidos na íntegra com ficha padronizada, que conferiu os números com o texto e as tabelas da fonte e registrou as limitações declaradas pelos autores e as fragilidades observadas pelos revisores (Apêndice D). Quando o estudo relatava médias e desvios-padrão de duas condições sem tamanho de efeito, os revisores calcularam o d de Cohen, sinalizado como tal.</w:t>
      </w:r>
    </w:p>
    <w:p>
      <w:pPr>
        <w:spacing w:before="0" w:after="0" w:line="360" w:lineRule="auto"/>
        <w:ind w:left="0" w:firstLine="709"/>
        <w:jc w:val="both"/>
      </w:pPr>
      <w:r>
        <w:rPr>
          <w:rFonts w:ascii="Times New Roman" w:hAnsi="Times New Roman"/>
          <w:i w:val="0"/>
          <w:sz w:val="24"/>
        </w:rPr>
        <w:t>A qualidade metodológica foi avaliada por seis itens adaptados de instrumentos para estudos observacionais e transversais (DOWNES et al., 2016): (Q1) objetivo e população definidos; (Q2) amostra descrita; (Q3) instrumento de humor validado e nomeado; (Q4) momento da medida declarado; (Q5) comparador, controle ou ajuste para confundimento; e (Q6) análise estatística adequada, com medidas de variabilidade. A pontuação correspondeu ao número de itens atendidos (0 a 6), com qualidade alta de 5 a 6, moderada de 3 a 4 e baixa de 0 a 2, e foi revista na leitura integral. A certeza da evidência de cada achado principal foi julgada pelos domínios da abordagem GRADE (GUYATT et al., 2008) (consistência, precisão, validade interna e direcionalidade), sem atribuição de níveis formais.</w:t>
      </w:r>
    </w:p>
    <w:p>
      <w:pPr>
        <w:spacing w:before="0" w:after="0" w:line="360" w:lineRule="auto"/>
        <w:ind w:left="0" w:firstLine="709"/>
        <w:jc w:val="both"/>
      </w:pPr>
      <w:r>
        <w:rPr>
          <w:rFonts w:ascii="Times New Roman" w:hAnsi="Times New Roman"/>
          <w:i w:val="0"/>
          <w:sz w:val="24"/>
        </w:rPr>
        <w:t>A síntese foi narrativa e estruturada conforme a diretriz SWiM (CAMPBELL et al., 2020), com agrupamento por instrumento, variável relacionada e delineamento e com a direção do achado como métrica padronizada. A metanálise não foi realizada, por decisão anterior à inspeção dos dados, pois os estudos diferem em instrumento, momento da medida, delineamento e desfecho (HOPKINS et al., 2009). A trajetória temporal da produção foi descrita por média móvel centrada de três anos, com intervalo de confiança exato de Poisson (GARWOOD, 1936), procedimento que reduz a variação aleatória e preserva a tendência (CLEVELAND, 1979; HYNDMAN, 2011).</w:t>
      </w:r>
    </w:p>
    <w:p>
      <w:pPr>
        <w:spacing w:before="0" w:after="0" w:line="360" w:lineRule="auto"/>
        <w:ind w:left="0" w:firstLine="709"/>
        <w:jc w:val="both"/>
      </w:pPr>
      <w:r>
        <w:rPr>
          <w:rFonts w:ascii="Times New Roman" w:hAnsi="Times New Roman"/>
          <w:i w:val="0"/>
          <w:sz w:val="24"/>
        </w:rPr>
        <w:t>As cinco questões de pesquisa apresentadas na Introdução orientaram a extração dos dados e a organização dos resultados, apresentados a seguir na mesma sequência.</w:t>
      </w:r>
    </w:p>
    <w:p>
      <w:pPr>
        <w:keepNext/>
        <w:spacing w:before="240" w:after="240" w:line="360" w:lineRule="auto"/>
        <w:ind w:left="0" w:firstLine="0"/>
        <w:jc w:val="left"/>
      </w:pPr>
      <w:r>
        <w:rPr>
          <w:rFonts w:ascii="Times New Roman" w:hAnsi="Times New Roman"/>
          <w:b/>
          <w:sz w:val="24"/>
        </w:rPr>
        <w:t>3 RESULTADOS</w:t>
      </w:r>
    </w:p>
    <w:p>
      <w:pPr>
        <w:keepNext/>
        <w:spacing w:before="240" w:after="120" w:line="360" w:lineRule="auto"/>
        <w:ind w:left="0" w:firstLine="0"/>
        <w:jc w:val="left"/>
      </w:pPr>
      <w:r>
        <w:rPr>
          <w:rFonts w:ascii="Times New Roman" w:hAnsi="Times New Roman"/>
          <w:b/>
          <w:sz w:val="24"/>
        </w:rPr>
        <w:t>3.1 Características dos estudos e das populações (QP1)</w:t>
      </w:r>
    </w:p>
    <w:p>
      <w:pPr>
        <w:spacing w:before="0" w:after="0" w:line="360" w:lineRule="auto"/>
        <w:ind w:left="0" w:firstLine="709"/>
        <w:jc w:val="both"/>
      </w:pPr>
      <w:r>
        <w:rPr>
          <w:rFonts w:ascii="Times New Roman" w:hAnsi="Times New Roman"/>
          <w:i w:val="0"/>
          <w:sz w:val="24"/>
        </w:rPr>
        <w:t>Na versão inicial, a busca identificou 1.423 registros, 1.421 nas bases e 2 nas listas de referências. Após a remoção de 734 duplicatas, 689 registros seguiram para a triagem, que excluiu 576; dos 113 relatórios procurados, 54 não foram recuperados, e os 59 avaliados na íntegra resultaram em 26 estudos, aos quais a revisão de mapeamento paralela acrescentou um relatório. Na atualização, as cinco fontes retornaram 4.326 registros; após a remoção de 894 duplicatas e de 2.708 registros pelo filtro automático, 724 foram triados, 22 relatórios foram avaliados na íntegra e 7 foram incluídos, e a busca de citações acrescentou um estudo (MORENAS-AGUILAR et al., 2023). A segunda rodada de citações e as consultas complementares não identificaram outros artigos elegíveis. O conjunto final reúne 35 relatórios de 34 estudos, pois dois relatórios descrevem a mesma amostra (BATALLA-GAVALDA et al., 2025, 2026) (Figura 1). A releitura integral dos relatórios da versão anterior alterou onze decisões, e os relatórios excluídos no texto completo constam do Apêndice C.</w:t>
      </w:r>
    </w:p>
    <w:p>
      <w:pPr>
        <w:keepNext/>
        <w:spacing w:before="120" w:after="60" w:line="240" w:lineRule="auto"/>
        <w:ind w:left="0" w:firstLine="0"/>
        <w:jc w:val="both"/>
      </w:pPr>
      <w:r>
        <w:rPr>
          <w:rFonts w:ascii="Times New Roman" w:hAnsi="Times New Roman"/>
          <w:b/>
          <w:sz w:val="20"/>
        </w:rPr>
        <w:t>Figura 1</w:t>
      </w:r>
      <w:r>
        <w:rPr>
          <w:rFonts w:ascii="Times New Roman" w:hAnsi="Times New Roman"/>
          <w:i w:val="0"/>
          <w:sz w:val="20"/>
        </w:rPr>
        <w:t xml:space="preserve"> – Fluxograma PRISMA 2020 da seleção dos estudos</w:t>
      </w:r>
    </w:p>
    <w:p>
      <w:pPr>
        <w:keepNext/>
        <w:spacing w:before="0" w:after="0" w:line="240" w:lineRule="auto"/>
        <w:ind w:left="0" w:firstLine="0"/>
        <w:jc w:val="center"/>
      </w:pPr>
      <w:r>
        <w:drawing>
          <wp:inline xmlns:a="http://schemas.openxmlformats.org/drawingml/2006/main" xmlns:pic="http://schemas.openxmlformats.org/drawingml/2006/picture">
            <wp:extent cx="4140000" cy="4587190"/>
            <wp:docPr id="1" name="Picture 1"/>
            <wp:cNvGraphicFramePr>
              <a:graphicFrameLocks noChangeAspect="1"/>
            </wp:cNvGraphicFramePr>
            <a:graphic>
              <a:graphicData uri="http://schemas.openxmlformats.org/drawingml/2006/picture">
                <pic:pic>
                  <pic:nvPicPr>
                    <pic:cNvPr id="0" name="Figura1_PRISMA_RS.png"/>
                    <pic:cNvPicPr/>
                  </pic:nvPicPr>
                  <pic:blipFill>
                    <a:blip r:embed="rId10"/>
                    <a:stretch>
                      <a:fillRect/>
                    </a:stretch>
                  </pic:blipFill>
                  <pic:spPr>
                    <a:xfrm>
                      <a:off x="0" y="0"/>
                      <a:ext cx="4140000" cy="4587190"/>
                    </a:xfrm>
                    <a:prstGeom prst="rect"/>
                  </pic:spPr>
                </pic:pic>
              </a:graphicData>
            </a:graphic>
          </wp:inline>
        </w:drawing>
      </w:r>
    </w:p>
    <w:p>
      <w:pPr>
        <w:spacing w:before="40" w:after="0" w:line="240" w:lineRule="auto"/>
        <w:ind w:left="0" w:firstLine="0"/>
        <w:jc w:val="both"/>
      </w:pPr>
      <w:r>
        <w:rPr>
          <w:rFonts w:ascii="Times New Roman" w:hAnsi="Times New Roman"/>
          <w:i w:val="0"/>
          <w:sz w:val="20"/>
        </w:rPr>
        <w:t>Nota: busca inicial entre maio e setembro de 2026 e atualização em outubro de 2026; modelo do PRISMA 2020 para revisões atualizadas.</w:t>
      </w:r>
    </w:p>
    <w:p>
      <w:pPr>
        <w:spacing w:before="0" w:after="160" w:line="240" w:lineRule="auto"/>
        <w:ind w:left="0" w:firstLine="0"/>
        <w:jc w:val="left"/>
      </w:pPr>
      <w:r>
        <w:rPr>
          <w:rFonts w:ascii="Times New Roman" w:hAnsi="Times New Roman"/>
          <w:i w:val="0"/>
          <w:sz w:val="20"/>
        </w:rPr>
        <w:t>Fonte: elaborada pelos autores (2026).</w:t>
      </w:r>
    </w:p>
    <w:p>
      <w:pPr>
        <w:spacing w:before="0" w:after="0" w:line="360" w:lineRule="auto"/>
        <w:ind w:left="0" w:firstLine="709"/>
        <w:jc w:val="both"/>
      </w:pPr>
      <w:r>
        <w:rPr>
          <w:rFonts w:ascii="Times New Roman" w:hAnsi="Times New Roman"/>
          <w:i w:val="0"/>
          <w:sz w:val="24"/>
        </w:rPr>
        <w:t>Os 34 estudos foram publicados entre 2008 e 2026, com média de quase dois estudos por ano e maior concentração a partir de 2018 (Figura 2A). A produção distribuiu-se por 14 países, com predomínio da Espanha (8 estudos), da Tunísia (5) e do Brasil (5). Quinze estudos (44,1%) investigaram apenas mulheres, dez (29,4%) apenas homens e cinco amostras mistas, enquanto quatro não relataram o sexo. O nível de elite reuniu 8 estudos, o de formação, 7, e o nacional, 6; os demais envolveram atletas universitários, amadores e escolares. O tamanho da amostra, relatado em 33 estudos, variou de 6 a 584 participantes, com mediana de 24, e vinte estudos reuniram menos de 30 atletas.</w:t>
      </w:r>
    </w:p>
    <w:p>
      <w:pPr>
        <w:spacing w:before="0" w:after="0" w:line="360" w:lineRule="auto"/>
        <w:ind w:left="0" w:firstLine="709"/>
        <w:jc w:val="both"/>
      </w:pPr>
      <w:r>
        <w:rPr>
          <w:rFonts w:ascii="Times New Roman" w:hAnsi="Times New Roman"/>
          <w:i w:val="0"/>
          <w:sz w:val="24"/>
        </w:rPr>
        <w:t>Seis estudos avaliaram adolescentes (AYDI et al., 2025; BATALLA-GAVALDA et al., 2021; LUJIC; PRSKALO; BRATKO, 2023; PEREIRA et al., 2014; SAHLI et al., 2022, 2024), com médias de 13,81 ± 0,73 anos (AYDI et al., 2025) a 17,4 ± 2,08 anos (SAHLI et al., 2024), e dois descreveram a amostra apenas como adolescente (BUCHHEIT, 2015; DIACHENKO; TYSHCHENKO, 2025). Entre os juniores, as médias foram de 18,6 ± 2,4 anos (ASSUNÇÃO CARVALHO et al., 2018) e de 18,8 ± 0,20 anos (ZURITA ORTEGA et al., 2014); nos adultos, de 19,8 ± 1,9 anos (MORENAS-AGUILAR et al., 2023) a 30,46 ± 8,29 anos (LAGNER et al., 2015). O estudo húngaro abrangeu atletas de 14 a 35 anos (RATZ-SULYOK et al., 2026), e quatro estudos não relataram a idade (AKROUSH et al., 2025; FARZANEGI et al., [2008?]; KHAZDOZI; BAHARI; ASHAYERI, 2017; ROCHA; LOPES; MORAES, 2010). Os dois estudos de handebol de praia avaliaram 17 jogadoras da seleção brasileira, com 27,1 ± 3,8 anos (PADILHAS et al., 2018), e 181 atletas de ambos os sexos, com 25,68 ± 5,95 anos, de equipes classificadas para a Copa da Espanha de 2016 (REIGAL et al., 2020). Seleções nacionais compuseram ainda a amostra de dois estudos, com 39 jogadoras das seleções adulta, júnior e juvenil do Chile (SOTO; GARCÍA-HERRERO; CARCEDO, 2020) e 584 atletas húngaros das seleções sub-17, sub-19, sub-21 e adulta e do programa de talentos sub-15 (RATZ-SULYOK et al., 2026). Entre as maiores amostras estiveram também 407 adolescentes croatas, comparados a 349 inativos (LUJIC; PRSKALO; BRATKO, 2023), e 187 atletas federados, 77 deles profissionais (MON-LÓPEZ et al., 2020). No outro extremo, o programa de autorregulação do humor envolveu 6 jogadores, selecionados entre 20 pelos escores mais negativos (AL-WATTAR; AL-BADRANE, 2014).</w:t>
      </w:r>
    </w:p>
    <w:p>
      <w:pPr>
        <w:spacing w:before="0" w:after="0" w:line="360" w:lineRule="auto"/>
        <w:ind w:left="0" w:firstLine="709"/>
        <w:jc w:val="both"/>
      </w:pPr>
      <w:r>
        <w:rPr>
          <w:rFonts w:ascii="Times New Roman" w:hAnsi="Times New Roman"/>
          <w:i w:val="0"/>
          <w:sz w:val="24"/>
        </w:rPr>
        <w:t>Quanto ao delineamento, dez estudos foram transversais, sete longitudinais, seis quase-experimentais, seis cruzados e cinco ensaios randomizados (Figura 2E). A medida ocorreu no treinamento em treze estudos, em laboratório em seis, na competição oficial em seis e ao longo do período competitivo em seis. Dois estudos avaliaram atletas durante o confinamento da pandemia de COVID-19 (BATALLA-GAVALDA et al., 2021; MON-LÓPEZ et al., 2020). A leitura integral apoiou-se no texto completo em 27 relatórios e apenas no resumo em 8. O Apêndice A apresenta a extração completa de cada estudo.</w:t>
      </w:r>
    </w:p>
    <w:p>
      <w:pPr>
        <w:keepNext/>
        <w:spacing w:before="120" w:after="60" w:line="240" w:lineRule="auto"/>
        <w:ind w:left="0" w:firstLine="0"/>
        <w:jc w:val="both"/>
      </w:pPr>
      <w:r>
        <w:rPr>
          <w:rFonts w:ascii="Times New Roman" w:hAnsi="Times New Roman"/>
          <w:b/>
          <w:sz w:val="20"/>
        </w:rPr>
        <w:t>Figura 2</w:t>
      </w:r>
      <w:r>
        <w:rPr>
          <w:rFonts w:ascii="Times New Roman" w:hAnsi="Times New Roman"/>
          <w:i w:val="0"/>
          <w:sz w:val="20"/>
        </w:rPr>
        <w:t xml:space="preserve"> – Características dos estudos e das populações (QP1)</w:t>
      </w:r>
    </w:p>
    <w:p>
      <w:pPr>
        <w:keepNext/>
        <w:spacing w:before="0" w:after="0" w:line="240" w:lineRule="auto"/>
        <w:ind w:left="0" w:firstLine="0"/>
        <w:jc w:val="center"/>
      </w:pPr>
      <w:r>
        <w:drawing>
          <wp:inline xmlns:a="http://schemas.openxmlformats.org/drawingml/2006/main" xmlns:pic="http://schemas.openxmlformats.org/drawingml/2006/picture">
            <wp:extent cx="5220000" cy="6250685"/>
            <wp:docPr id="2" name="Picture 2"/>
            <wp:cNvGraphicFramePr>
              <a:graphicFrameLocks noChangeAspect="1"/>
            </wp:cNvGraphicFramePr>
            <a:graphic>
              <a:graphicData uri="http://schemas.openxmlformats.org/drawingml/2006/picture">
                <pic:pic>
                  <pic:nvPicPr>
                    <pic:cNvPr id="0" name="Figura2_Caracteristicas_RS.png"/>
                    <pic:cNvPicPr/>
                  </pic:nvPicPr>
                  <pic:blipFill>
                    <a:blip r:embed="rId11"/>
                    <a:stretch>
                      <a:fillRect/>
                    </a:stretch>
                  </pic:blipFill>
                  <pic:spPr>
                    <a:xfrm>
                      <a:off x="0" y="0"/>
                      <a:ext cx="5220000" cy="6250685"/>
                    </a:xfrm>
                    <a:prstGeom prst="rect"/>
                  </pic:spPr>
                </pic:pic>
              </a:graphicData>
            </a:graphic>
          </wp:inline>
        </w:drawing>
      </w:r>
    </w:p>
    <w:p>
      <w:pPr>
        <w:spacing w:before="40" w:after="0" w:line="240" w:lineRule="auto"/>
        <w:ind w:left="0" w:firstLine="0"/>
        <w:jc w:val="both"/>
      </w:pPr>
      <w:r>
        <w:rPr>
          <w:rFonts w:ascii="Times New Roman" w:hAnsi="Times New Roman"/>
          <w:i w:val="0"/>
          <w:sz w:val="20"/>
        </w:rPr>
        <w:t>Nota: (A) estudos por ano, média móvel centrada de três anos com intervalo de confiança de Poisson exato e produção acumulada, com 2026 em curso; (B) país; (C) sexo da amostra; (D) nível competitivo; (E) delineamento; (F) contexto da medida; percentuais sobre os 34 estudos.</w:t>
      </w:r>
    </w:p>
    <w:p>
      <w:pPr>
        <w:spacing w:before="0" w:after="160" w:line="240" w:lineRule="auto"/>
        <w:ind w:left="0" w:firstLine="0"/>
        <w:jc w:val="left"/>
      </w:pPr>
      <w:r>
        <w:rPr>
          <w:rFonts w:ascii="Times New Roman" w:hAnsi="Times New Roman"/>
          <w:i w:val="0"/>
          <w:sz w:val="20"/>
        </w:rPr>
        <w:t>Fonte: elaborada pelos autores (2026).</w:t>
      </w:r>
    </w:p>
    <w:p>
      <w:pPr>
        <w:keepNext/>
        <w:spacing w:before="240" w:after="120" w:line="360" w:lineRule="auto"/>
        <w:ind w:left="0" w:firstLine="0"/>
        <w:jc w:val="left"/>
      </w:pPr>
      <w:r>
        <w:rPr>
          <w:rFonts w:ascii="Times New Roman" w:hAnsi="Times New Roman"/>
          <w:b/>
          <w:sz w:val="24"/>
        </w:rPr>
        <w:t>3.2 Instrumentos, dimensões e momento da medida (QP2)</w:t>
      </w:r>
    </w:p>
    <w:p>
      <w:pPr>
        <w:spacing w:before="0" w:after="0" w:line="360" w:lineRule="auto"/>
        <w:ind w:left="0" w:firstLine="709"/>
        <w:jc w:val="both"/>
      </w:pPr>
      <w:r>
        <w:rPr>
          <w:rFonts w:ascii="Times New Roman" w:hAnsi="Times New Roman"/>
          <w:i w:val="0"/>
          <w:sz w:val="24"/>
        </w:rPr>
        <w:t>O Profile of Mood States (POMS) e suas versões, com 30, 36, 48, 58 ou 65 itens, foram empregados em 18 estudos (52,9%); a Brunel Mood Scale, em três (AL-WATTAR; AL-BADRANE, 2014; AYDI et al., 2025; SAHLI et al., 2024); a escala de afeto positivo e negativo (PANAS), em quatro (GARCÍA-HERRERO et al., 2022; IVANOVIĆ; IVANOVIĆ, 2023; LUJIC; PRSKALO; BRATKO, 2023; SOTO; GARCÍA-HERRERO; CARCEDO, 2020); a Feeling Scale, em dois (ROCHA; LOPES; MORAES, 2010; SAHLI et al., 2022); e a subescala afetiva do Self-Assessment Manikin, em dois (LAGNER et al., 2015; MORENAS-AGUILAR et al., 2023). Cinco estudos usaram escalas menos difundidas: listas de adjetivos de estados de ânimo (SCHIAVINI; ARENA, 2010), o método EMPA (LISENCHUK et al., 2019), o questionário SAN, de bem-estar, atividade e humor (DIACHENKO; TYSHCHENKO, 2025), uma lista de padrões de humor próxima do temperamento (AKROUSH et al., 2025) e um questionário de humor de validade incerta (KHAZDOZI; BAHARI; ASHAYERI, 2017) (Figura 3A). Em parte dos estudos com o POMS, apenas algumas dimensões foram relatadas, como a tensão ou a fadiga (MONTES; GOMES, 2014; PADILHAS et al., 2018); em outro, o escore total entrou em um modelo conjunto sem relato do efeito do humor (ZURITA ORTEGA et al., 2014). O momento da medida foi declarado com precisão em 25 estudos e ficou incerto ou ausente nos demais.</w:t>
      </w:r>
    </w:p>
    <w:p>
      <w:pPr>
        <w:spacing w:before="0" w:after="0" w:line="360" w:lineRule="auto"/>
        <w:ind w:left="0" w:firstLine="709"/>
        <w:jc w:val="both"/>
      </w:pPr>
      <w:r>
        <w:rPr>
          <w:rFonts w:ascii="Times New Roman" w:hAnsi="Times New Roman"/>
          <w:i w:val="0"/>
          <w:sz w:val="24"/>
        </w:rPr>
        <w:t>Entre os estudos com o POMS, a versão de 65 itens foi usada em três (BRESCIANI et al., 2010; RATZ-SULYOK et al., 2026; REIGAL et al., 2020), a de 58 itens em dois estudos, descritos em três relatórios (BATALLA-GAVALDA et al., 2021, 2025, 2026), a de 48 itens em um (ZURITA ORTEGA et al., 2014), a de 36 itens, atribuída a Raglin e Morgan, em um (ASSUNÇÃO CARVALHO et al., 2018), e a de 30 itens em dois (MIRALLES-AMORÓS et al., 2023; MON-LÓPEZ et al., 2020). Duas versões reduzidas não declararam o número de itens (OBREGÓN SIBÓN et al., 2017; PEREIRA et al., 2014), e seis estudos não relataram a versão (BUCHHEIT, 2015; ESSID et al., 2022; FARZANEGI et al., [2008?]; GHAZEL et al., 2022; MONTES; GOMES, 2014; PADILHAS et al., 2018). As adaptações declaradas foram sobretudo espanholas (BATALLA-GAVALDA et al., 2021, 2025; BRESCIANI et al., 2010; MON-LÓPEZ et al., 2020; REIGAL et al., 2020; ZURITA ORTEGA et al., 2014), e a escala de resposta de 0 a 4 foi informada em três estudos (MIRALLES-AMORÓS et al., 2023; PEREIRA et al., 2014; REIGAL et al., 2020). A perturbação total constou de sete estudos com o POMS (ASSUNÇÃO CARVALHO et al., 2018; BATALLA-GAVALDA et al., 2021, 2025; BRESCIANI et al., 2010; PADILHAS et al., 2018; PEREIRA et al., 2014; RATZ-SULYOK et al., 2026). Dois estudos incluíram a dimensão amizade (MON-LÓPEZ et al., 2020; ZURITA ORTEGA et al., 2014), e dois denominaram a raiva de hostilidade (ASSUNÇÃO CARVALHO et al., 2018; PEREIRA et al., 2014).</w:t>
      </w:r>
    </w:p>
    <w:p>
      <w:pPr>
        <w:spacing w:before="0" w:after="0" w:line="360" w:lineRule="auto"/>
        <w:ind w:left="0" w:firstLine="709"/>
        <w:jc w:val="both"/>
      </w:pPr>
      <w:r>
        <w:rPr>
          <w:rFonts w:ascii="Times New Roman" w:hAnsi="Times New Roman"/>
          <w:i w:val="0"/>
          <w:sz w:val="24"/>
        </w:rPr>
        <w:t>A Brunel Mood Scale teve versão árabe em dois estudos (AL-WATTAR; AL-BADRANE, 2014; SAHLI et al., 2024) e forma de 24 itens nos três, com as seis dimensões. O PANAS foi aplicado na versão espanhola de 20 itens (GARCÍA-HERRERO et al., 2022; SOTO; GARCÍA-HERRERO; CARCEDO, 2020), na adaptação croata de 16 itens, com escala de 1 a 7 (LUJIC; PRSKALO; BRATKO, 2023), e na versão sérvia (IVANOVIĆ; IVANOVIĆ, 2023). A Feeling Scale variou de -5 a +5 nos dois estudos, e o SAM teve escala de 9 pontos em um estudo (LAGNER et al., 2015). Entre as demais escalas, a LEA-RI reuniu 14 adjetivos (SCHIAVINI; ARENA, 2010), o questionário persa atribuído a Brooms, 32 itens e oito componentes (KHAZDOZI; BAHARI; ASHAYERI, 2017), e a lista de Allawi, 20 itens na forma final (AKROUSH et al., 2025).</w:t>
      </w:r>
    </w:p>
    <w:p>
      <w:pPr>
        <w:spacing w:before="0" w:after="0" w:line="360" w:lineRule="auto"/>
        <w:ind w:left="0" w:firstLine="709"/>
        <w:jc w:val="both"/>
      </w:pPr>
      <w:r>
        <w:rPr>
          <w:rFonts w:ascii="Times New Roman" w:hAnsi="Times New Roman"/>
          <w:i w:val="0"/>
          <w:sz w:val="24"/>
        </w:rPr>
        <w:t>Em competição, o humor foi avaliado antes e depois do jogo (FARZANEGI et al., [2008?]; OBREGÓN SIBÓN et al., 2017), cerca de 45 min antes de cada jogo da semifinal (SCHIAVINI; ARENA, 2010), 24 h antes do primeiro jogo da competição (REIGAL et al., 2020) e antes de cada um dos 10 jogos oficiais e de cada teste de campo (BATALLA-GAVALDA et al., 2025). Nas sessões, a medida ocorreu durante cada corrida de 20 min (ROCHA; LOPES; MORAES, 2010) e antes e depois de cada jogo, sessão ou tarefa (AYDI et al., 2025; GARCÍA-HERRERO et al., 2022; SAHLI et al., 2024; SOTO; GARCÍA-HERRERO; CARCEDO, 2020). Ao longo da temporada, houve cinco medidas em 40 semanas (BRESCIANI et al., 2010), medidas mensais de novembro de 2010 a maio de 2011 (ZURITA ORTEGA et al., 2014) e 11 ocasiões mensais de setembro a maio (BUCHHEIT, 2015). Nos estudos sobre o ciclo menstrual, cada atleta foi avaliada uma vez na fase em que se encontrava (LISENCHUK et al., 2019), ou foi medida em cada fase (GHAZEL et al., 2022), ou no início de seis sessões distribuídas por três fases em dois ciclos (MORENAS-AGUILAR et al., 2023). Durante o confinamento, as medidas ocorreram após cerca de 35 dias de isolamento (MON-LÓPEZ et al., 2020) e nas semanas 1, 6 e 10 (BATALLA-GAVALDA et al., 2021), e um estudo comparou três horários do dia, às 10h, às 14h e às 18h (ESSID et al., 2022). No estudo húngaro, o POMS foi aplicado por entrevista, com referência à semana anterior e sem data declarada em relação à coleta de saliva (RATZ-SULYOK et al., 2026). O momento não foi relatado em três estudos (AKROUSH et al., 2025; DIACHENKO; TYSHCHENKO, 2025; DURAI; ATHISAYARAJ, 2018) nem declarado explicitamente em um relatório (BATALLA-GAVALDA et al., 2026).</w:t>
      </w:r>
    </w:p>
    <w:p>
      <w:pPr>
        <w:keepNext/>
        <w:spacing w:before="120" w:after="60" w:line="240" w:lineRule="auto"/>
        <w:ind w:left="0" w:firstLine="0"/>
        <w:jc w:val="both"/>
      </w:pPr>
      <w:r>
        <w:rPr>
          <w:rFonts w:ascii="Times New Roman" w:hAnsi="Times New Roman"/>
          <w:b/>
          <w:sz w:val="20"/>
        </w:rPr>
        <w:t>Figura 3</w:t>
      </w:r>
      <w:r>
        <w:rPr>
          <w:rFonts w:ascii="Times New Roman" w:hAnsi="Times New Roman"/>
          <w:i w:val="0"/>
          <w:sz w:val="20"/>
        </w:rPr>
        <w:t xml:space="preserve"> – Instrumentos, variáveis relacionadas ao humor e direção dos achados (QP2 a QP4)</w:t>
      </w:r>
    </w:p>
    <w:p>
      <w:pPr>
        <w:keepNext/>
        <w:spacing w:before="0" w:after="0" w:line="240" w:lineRule="auto"/>
        <w:ind w:left="0" w:firstLine="0"/>
        <w:jc w:val="center"/>
      </w:pPr>
      <w:r>
        <w:drawing>
          <wp:inline xmlns:a="http://schemas.openxmlformats.org/drawingml/2006/main" xmlns:pic="http://schemas.openxmlformats.org/drawingml/2006/picture">
            <wp:extent cx="4860000" cy="5207401"/>
            <wp:docPr id="3" name="Picture 3"/>
            <wp:cNvGraphicFramePr>
              <a:graphicFrameLocks noChangeAspect="1"/>
            </wp:cNvGraphicFramePr>
            <a:graphic>
              <a:graphicData uri="http://schemas.openxmlformats.org/drawingml/2006/picture">
                <pic:pic>
                  <pic:nvPicPr>
                    <pic:cNvPr id="0" name="Figura3_Instrumentos_Relacoes_RS.png"/>
                    <pic:cNvPicPr/>
                  </pic:nvPicPr>
                  <pic:blipFill>
                    <a:blip r:embed="rId12"/>
                    <a:stretch>
                      <a:fillRect/>
                    </a:stretch>
                  </pic:blipFill>
                  <pic:spPr>
                    <a:xfrm>
                      <a:off x="0" y="0"/>
                      <a:ext cx="4860000" cy="5207401"/>
                    </a:xfrm>
                    <a:prstGeom prst="rect"/>
                  </pic:spPr>
                </pic:pic>
              </a:graphicData>
            </a:graphic>
          </wp:inline>
        </w:drawing>
      </w:r>
    </w:p>
    <w:p>
      <w:pPr>
        <w:spacing w:before="40" w:after="0" w:line="240" w:lineRule="auto"/>
        <w:ind w:left="0" w:firstLine="0"/>
        <w:jc w:val="both"/>
      </w:pPr>
      <w:r>
        <w:rPr>
          <w:rFonts w:ascii="Times New Roman" w:hAnsi="Times New Roman"/>
          <w:i w:val="0"/>
          <w:sz w:val="20"/>
        </w:rPr>
        <w:t>Nota: (A) família de instrumento; (B) direção do achado por família de instrumento; (C) gráfico de direção do efeito por variável relacionada ao humor, conforme a diretriz SWiM; um estudo pode relacionar o humor a mais de uma variável.</w:t>
      </w:r>
    </w:p>
    <w:p>
      <w:pPr>
        <w:spacing w:before="0" w:after="160" w:line="240" w:lineRule="auto"/>
        <w:ind w:left="0" w:firstLine="0"/>
        <w:jc w:val="left"/>
      </w:pPr>
      <w:r>
        <w:rPr>
          <w:rFonts w:ascii="Times New Roman" w:hAnsi="Times New Roman"/>
          <w:i w:val="0"/>
          <w:sz w:val="20"/>
        </w:rPr>
        <w:t>Fonte: elaborada pelos autores (2026).</w:t>
      </w:r>
    </w:p>
    <w:p>
      <w:pPr>
        <w:keepNext/>
        <w:spacing w:before="240" w:after="120" w:line="360" w:lineRule="auto"/>
        <w:ind w:left="0" w:firstLine="0"/>
        <w:jc w:val="left"/>
      </w:pPr>
      <w:r>
        <w:rPr>
          <w:rFonts w:ascii="Times New Roman" w:hAnsi="Times New Roman"/>
          <w:b/>
          <w:sz w:val="24"/>
        </w:rPr>
        <w:t>3.3 Variáveis relacionadas ao humor e resultados (QP3)</w:t>
      </w:r>
    </w:p>
    <w:p>
      <w:pPr>
        <w:spacing w:before="0" w:after="0" w:line="360" w:lineRule="auto"/>
        <w:ind w:left="0" w:firstLine="709"/>
        <w:jc w:val="both"/>
      </w:pPr>
      <w:r>
        <w:rPr>
          <w:rFonts w:ascii="Times New Roman" w:hAnsi="Times New Roman"/>
          <w:i w:val="0"/>
          <w:sz w:val="24"/>
        </w:rPr>
        <w:t>O humor relacionou-se a variáveis psicológicas em 12 estudos, a intervenções verbais ou psicológicas em 9, à carga e à recuperação em 8, a marcadores biológicos em 7, à competição e ao resultado do jogo e ao desempenho físico em 6 cada, e ao desempenho técnico em 5 (Figura 3C). Entre os 34 estudos, 17 relataram efeito ou associação, 10 resultados mistos e cinco ausência de efeito; um foi apenas descritivo, e em outro a direção não pôde ser determinada. O Quadro 1 sintetiza os achados por grupo de variáveis; os parágrafos seguintes apresentam os valores relatados e as divergências registradas na leitura integral.</w:t>
      </w:r>
    </w:p>
    <w:p>
      <w:pPr>
        <w:spacing w:before="0" w:after="0" w:line="360" w:lineRule="auto"/>
        <w:ind w:left="0" w:firstLine="709"/>
        <w:jc w:val="both"/>
      </w:pPr>
      <w:r>
        <w:rPr>
          <w:rFonts w:ascii="Times New Roman" w:hAnsi="Times New Roman"/>
          <w:b/>
          <w:sz w:val="24"/>
        </w:rPr>
        <w:t>Competição e resultado do jogo.</w:t>
      </w:r>
      <w:r>
        <w:rPr>
          <w:rFonts w:ascii="Times New Roman" w:hAnsi="Times New Roman"/>
          <w:i w:val="0"/>
          <w:sz w:val="24"/>
        </w:rPr>
        <w:t xml:space="preserve"> Em 61 jogadores amadores, o humor avaliado pelo SAM foi mais positivo após a partida vencida que após o treino (F(1,180) = 30,48; p &lt; 0,001; η² = 0,34). Com o humor como covariável, as diferenças de memória episódica e numérica deixaram de ser significativas, mas a memória visuoespacial permaneceu significativa (F = 4,62; p = 0,04) (LAGNER et al., 2015). Nas semifinais universitárias, as equipes vencedoras assinalaram intensidade muito forte nos adjetivos positivos em 31% e 28% das respostas, contra 22% e 19% das adversárias, sem teste estatístico (SCHIAVINI; ARENA, 2010). Em jogadoras universitárias, o escore do POMS e o cortisol salivar aumentaram na competição (FARZANEGI et al., [2008?]). Após uma partida, 12 jogadores apresentaram mudança da fadiga (t = -4,408; p &lt; 0,001) e do vigor (t = -4,259; p &lt; 0,001), sem alteração da tensão (t = -0,088; p = 0,931); o resumo descreve o vigor como aumentado nos resultados e como diminuído na conclusão (OBREGÓN SIBÓN et al., 2017). Em 16 jogadoras amadoras, o POMS foi aplicado antes de cada teste de campo e de cada jogo oficial. O perfil anterior ao Yo-Yo IR1 apresentou mais depressão (d = 0,18), mais fadiga (d = 0,30) e maior perturbação total (d = 0,22) que o perfil anterior aos jogos, com perturbação de 139,13 ± 29,94 contra 127,12 ± 23,01 (BATALLA-GAVALDA et al., 2025). Na mesma amostra, as medidas associadas ao Wingate e ao cicloergômetro registraram mais fadiga que as dos jogos (d = 0,16; p = 0,046), e a da esteira, maior vigor (d = 0,23; p = 0,003), sem declaração explícita do momento de aplicação (BATALLA-GAVALDA et al., 2026).</w:t>
      </w:r>
    </w:p>
    <w:p>
      <w:pPr>
        <w:spacing w:before="0" w:after="0" w:line="360" w:lineRule="auto"/>
        <w:ind w:left="0" w:firstLine="709"/>
        <w:jc w:val="both"/>
      </w:pPr>
      <w:r>
        <w:rPr>
          <w:rFonts w:ascii="Times New Roman" w:hAnsi="Times New Roman"/>
          <w:b/>
          <w:sz w:val="24"/>
        </w:rPr>
        <w:t>Carga, recuperação e marcadores biológicos.</w:t>
      </w:r>
      <w:r>
        <w:rPr>
          <w:rFonts w:ascii="Times New Roman" w:hAnsi="Times New Roman"/>
          <w:i w:val="0"/>
          <w:sz w:val="24"/>
        </w:rPr>
        <w:t xml:space="preserve"> Em uma temporada de 40 semanas, a perturbação total permaneceu entre 119,0 ± 27,3 e 129,0 ± 42,9, a raiva subiu para 14,1 ± 10,1 em T3, contra 8,7 ± 6,9 em T1 (p &lt; 0,05), e o vigor atingiu 20,6 ± 4,4 em T4 (p &lt; 0,05); a fadiga de T1 (13,9 ± 4,0) superou a dos momentos seguintes (7,2 a 9,6) sem diferença sinalizada pelos autores (BRESCIANI et al., 2010). Na seleção brasileira de handebol de praia, a fadiga passou de 2,06 ± 2,61 para 4,82 ± 4,05 no 8º dia e para 5,5 ± 4,8 no 18º dia da intertemporada, sem alteração da perturbação total (PADILHAS et al., 2018). Em uma equipe portuguesa, a tensão foi maior no início da temporada que nos dois momentos seguintes (MONTES; GOMES, 2014). Na corrida em esteira, as condições de informação sobre a duração do esforço foram aplicadas de modo cego e aleatório após uma linha de base fixa; o afeto diferiu da linha de base após o 10º minuto nas sessões fragmentada e superestimada, e a discussão descreve piora, ao passo que o resumo relata aumento (ROCHA; LOPES; MORAES, 2010). Em 584 atletas húngaros, a perturbação total diminuiu com a idade (η² = 0,033 nos homens e 0,101 nas mulheres), embora nas mulheres a mediana tenha subido de 15,5 no sub-15 para 25,5 no sub-19 antes de cair para -2,5 nas adultas. O POMS constou de 276 dos 584 atletas e não se associou aos hormônios salivares nos modelos ajustados pela idade (RATZ-SULYOK et al., 2026). Em adolescentes altamente treinados, a sensibilidade das medidas psicométricas mensais para mudanças do desempenho foi inferior a 20% (BUCHHEIT, 2015). Em sete jogadoras escolares, a perturbação total foi de 108,6 ± 14,71, sem diferença em relação à referência de 100 pontos (p = 0,1740) (PEREIRA et al., 2014).</w:t>
      </w:r>
    </w:p>
    <w:p>
      <w:pPr>
        <w:spacing w:before="0" w:after="0" w:line="360" w:lineRule="auto"/>
        <w:ind w:left="0" w:firstLine="709"/>
        <w:jc w:val="both"/>
      </w:pPr>
      <w:r>
        <w:rPr>
          <w:rFonts w:ascii="Times New Roman" w:hAnsi="Times New Roman"/>
          <w:b/>
          <w:sz w:val="24"/>
        </w:rPr>
        <w:t>Variáveis psicológicas, lesão e contexto.</w:t>
      </w:r>
      <w:r>
        <w:rPr>
          <w:rFonts w:ascii="Times New Roman" w:hAnsi="Times New Roman"/>
          <w:i w:val="0"/>
          <w:sz w:val="24"/>
        </w:rPr>
        <w:t xml:space="preserve"> No handebol de praia, o controle de enfrentamento negativo predisse a tensão (β = -0,462; R² = 0,21), e a autoconfiança, a depressão (β = -0,275) e a fadiga (β = -0,317) (REIGAL et al., 2020). No confinamento, as mulheres relataram mais depressão (8,26 ± 3,64 contra 6,75 ± 4,00; p = 0,012) e mais fadiga (p = 0,045), e os homens, mais vigor (p = 0,03). A depressão (β = 0,25), o vigor (β = 0,24) e a fadiga (β = -0,28) predisseram os dias de treino (R² = 0,11; p &lt; 0,001), e a tensão-ansiedade, menor qualidade do sono (β = -0,25; p = 0,01) (MON-LÓPEZ et al., 2020). Jogadoras jovens confinadas apresentaram perturbação total de 135,54 ± 33,26 a 139,81 ± 32,33, maior que a do atletismo nas três medidas (pBonferroni = 0,024; 0,016; 0,013), além de mais depressão, confusão e raiva. A equipe de handebol era inteiramente feminina, e a de atletismo, mista, e o efeito do tempo não foi testado dentro do handebol (BATALLA-GAVALDA et al., 2021). Adolescentes praticantes relataram mais afeto positivo (4,71 ± 1,06 contra 4,24 ± 1,10; d = 0,42) e menos afeto negativo (2,82 ± 1,03 contra 3,37 ± 1,17; d = 0,48) que inativos (LUJIC; PRSKALO; BRATKO, 2023). Em 132 juniores, a solidão predisse o afeto positivo (β = 0,29 e β = -0,32) e o negativo (β = 0,27 e β = -0,28), com sinais opostos entre os dois modelos; o resumo atribui 51% de variância explicada a um valor que corresponde ao R múltiplo, com R² corrigido de 0,15 (IVANOVIĆ; IVANOVIĆ, 2023). Jogadores de elite apresentaram mais estados negativos pela manhã e mais vigor à noite (ESSID et al., 2022).</w:t>
      </w:r>
    </w:p>
    <w:p>
      <w:pPr>
        <w:spacing w:before="0" w:after="0" w:line="360" w:lineRule="auto"/>
        <w:ind w:left="0" w:firstLine="709"/>
        <w:jc w:val="both"/>
      </w:pPr>
      <w:r>
        <w:rPr>
          <w:rFonts w:ascii="Times New Roman" w:hAnsi="Times New Roman"/>
          <w:i w:val="0"/>
          <w:sz w:val="24"/>
        </w:rPr>
        <w:t>Em jogadoras de elite, o humor foi menor nas fases menstrual, ovulatória e pré-menstrual (4,24 ± 0,10; 4,17 ± 0,14; 4,11 ± 0,16, média ± erro) que nas fases pós-menstrual e pós-ovulatória (5,31), sem teste entre as fases (LISENCHUK et al., 2019), e a ansiedade, a raiva e a confusão foram maiores na fase menstrual (GHAZEL et al., 2022). Em oito jogadoras amadoras, a valência do SAM não diferiu entre as fases (p = 0,639) (MORENAS-AGUILAR et al., 2023). O escore global do POMS de jogadores universitários de handebol foi de 85,12 ± 9,31, contra 80,23 ± 7,12 no voleibol (t = 4,52; p &lt; 0,05); esse valor de t não é reproduzido pelas médias e DP relatados (DURAI; ATHISAYARAJ, 2018). Os padrões de humor não diferiram por posição (F = 0,077; p = 0,926) nem por experiência (F = 0,432; p = 0,513) (AKROUSH et al., 2025). O modelo de predição de lesões com o POMS classificou corretamente 88,89% dos casos, sem relato do efeito isolado do humor (ZURITA ORTEGA et al., 2014).</w:t>
      </w:r>
    </w:p>
    <w:p>
      <w:pPr>
        <w:keepNext/>
        <w:spacing w:before="120" w:after="60" w:line="240" w:lineRule="auto"/>
        <w:ind w:left="0" w:firstLine="0"/>
        <w:jc w:val="both"/>
      </w:pPr>
      <w:r>
        <w:rPr>
          <w:rFonts w:ascii="Times New Roman" w:hAnsi="Times New Roman"/>
          <w:b/>
          <w:sz w:val="20"/>
        </w:rPr>
        <w:t>Quadro 1</w:t>
      </w:r>
      <w:r>
        <w:rPr>
          <w:rFonts w:ascii="Times New Roman" w:hAnsi="Times New Roman"/>
          <w:i w:val="0"/>
          <w:sz w:val="20"/>
        </w:rPr>
        <w:t xml:space="preserve"> – Síntese estruturada dos achados por grupo de variáveis (diretriz SWiM)</w:t>
      </w:r>
    </w:p>
    <w:tbl>
      <w:tblPr>
        <w:jc w:val="center"/>
        <w:tblLayout w:type="fixed"/>
        <w:tblLook w:firstColumn="1" w:firstRow="1" w:lastColumn="0" w:lastRow="0" w:noHBand="0" w:noVBand="1" w:val="04A0"/>
        <w:tblW w:w="9072" w:type="dxa"/>
        <w:tblLayout w:type="fixed"/>
      </w:tblPr>
      <w:tblGrid>
        <w:gridCol w:w="1814"/>
        <w:gridCol w:w="3061"/>
        <w:gridCol w:w="3061"/>
        <w:gridCol w:w="1134"/>
      </w:tblGrid>
      <w:tr>
        <w:trPr>
          <w:tblHeader w:val="true"/>
        </w:trPr>
        <w:tc>
          <w:tcPr>
            <w:tcW w:w="1814" w:type="dxa"/>
            <w:tcBorders>
              <w:top w:val="single" w:sz="8" w:color="000000"/>
              <w:left w:val="single" w:sz="4" w:color="000000"/>
              <w:bottom w:val="single" w:sz="6" w:color="000000"/>
              <w:right w:val="single" w:sz="4" w:color="000000"/>
            </w:tcBorders>
          </w:tcPr>
          <w:p>
            <w:pPr>
              <w:spacing w:lineRule="exact" w:line="200"/>
              <w:jc w:val="center"/>
            </w:pPr>
            <w:r>
              <w:rPr>
                <w:rFonts w:ascii="Times New Roman" w:hAnsi="Times New Roman"/>
                <w:b/>
                <w:sz w:val="17"/>
              </w:rPr>
              <w:t>Grupo de variáveis</w:t>
            </w:r>
          </w:p>
        </w:tc>
        <w:tc>
          <w:tcPr>
            <w:tcW w:w="3061" w:type="dxa"/>
            <w:tcBorders>
              <w:top w:val="single" w:sz="8" w:color="000000"/>
              <w:left w:val="single" w:sz="4" w:color="000000"/>
              <w:bottom w:val="single" w:sz="6" w:color="000000"/>
              <w:right w:val="single" w:sz="4" w:color="000000"/>
            </w:tcBorders>
          </w:tcPr>
          <w:p>
            <w:pPr>
              <w:spacing w:lineRule="exact" w:line="200"/>
              <w:jc w:val="center"/>
            </w:pPr>
            <w:r>
              <w:rPr>
                <w:rFonts w:ascii="Times New Roman" w:hAnsi="Times New Roman"/>
                <w:b/>
                <w:sz w:val="17"/>
              </w:rPr>
              <w:t>Estudos</w:t>
            </w:r>
          </w:p>
        </w:tc>
        <w:tc>
          <w:tcPr>
            <w:tcW w:w="3061" w:type="dxa"/>
            <w:tcBorders>
              <w:top w:val="single" w:sz="8" w:color="000000"/>
              <w:left w:val="single" w:sz="4" w:color="000000"/>
              <w:bottom w:val="single" w:sz="6" w:color="000000"/>
              <w:right w:val="single" w:sz="4" w:color="000000"/>
            </w:tcBorders>
          </w:tcPr>
          <w:p>
            <w:pPr>
              <w:spacing w:lineRule="exact" w:line="200"/>
              <w:jc w:val="center"/>
            </w:pPr>
            <w:r>
              <w:rPr>
                <w:rFonts w:ascii="Times New Roman" w:hAnsi="Times New Roman"/>
                <w:b/>
                <w:sz w:val="17"/>
              </w:rPr>
              <w:t>Principais achados</w:t>
            </w:r>
          </w:p>
        </w:tc>
        <w:tc>
          <w:tcPr>
            <w:tcW w:w="1134" w:type="dxa"/>
            <w:tcBorders>
              <w:top w:val="single" w:sz="8" w:color="000000"/>
              <w:left w:val="single" w:sz="4" w:color="000000"/>
              <w:bottom w:val="single" w:sz="6" w:color="000000"/>
              <w:right w:val="single" w:sz="4" w:color="000000"/>
            </w:tcBorders>
          </w:tcPr>
          <w:p>
            <w:pPr>
              <w:spacing w:lineRule="exact" w:line="200"/>
              <w:jc w:val="center"/>
            </w:pPr>
            <w:r>
              <w:rPr>
                <w:rFonts w:ascii="Times New Roman" w:hAnsi="Times New Roman"/>
                <w:b/>
                <w:sz w:val="17"/>
              </w:rPr>
              <w:t>Efeito / misto / outros</w:t>
            </w:r>
          </w:p>
        </w:tc>
      </w:tr>
      <w:tr>
        <w:tc>
          <w:tcPr>
            <w:tcW w:w="1814"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Competição e resultado do jogo</w:t>
            </w:r>
          </w:p>
        </w:tc>
        <w:tc>
          <w:tcPr>
            <w:tcW w:w="3061"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BATALLA-GAVALDA et al., 2025, 2026; FARZANEGI et al., [2008?]; LAGNER et al., 2015; OBREGÓN SIBÓN et al., 2017; REIGAL et al., 2020; SCHIAVINI; ARENA, 2010</w:t>
            </w:r>
          </w:p>
        </w:tc>
        <w:tc>
          <w:tcPr>
            <w:tcW w:w="3061"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Vitória associada a humor mais positivo; perfil anterior aos jogos menos perturbado que o anterior ao Yo-Yo IR1; fadiga e vigor alterados após a partida</w:t>
            </w:r>
          </w:p>
        </w:tc>
        <w:tc>
          <w:tcPr>
            <w:tcW w:w="1134" w:type="dxa"/>
            <w:tcBorders>
              <w:top w:val="single" w:sz="4" w:color="000000"/>
              <w:left w:val="single" w:sz="4" w:color="000000"/>
              <w:bottom w:val="single" w:sz="4" w:color="000000"/>
              <w:right w:val="single" w:sz="4" w:color="000000"/>
            </w:tcBorders>
          </w:tcPr>
          <w:p>
            <w:pPr>
              <w:spacing w:lineRule="exact" w:line="200" w:before="20" w:after="20"/>
              <w:jc w:val="center"/>
            </w:pPr>
            <w:r>
              <w:rPr>
                <w:rFonts w:ascii="Times New Roman" w:hAnsi="Times New Roman"/>
                <w:i w:val="0"/>
                <w:sz w:val="17"/>
              </w:rPr>
              <w:t>3 / 2 / 1</w:t>
            </w:r>
          </w:p>
        </w:tc>
      </w:tr>
      <w:tr>
        <w:tc>
          <w:tcPr>
            <w:tcW w:w="1814"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Carga, recuperação e marcadores biológicos</w:t>
            </w:r>
          </w:p>
        </w:tc>
        <w:tc>
          <w:tcPr>
            <w:tcW w:w="3061"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ASSUNÇÃO CARVALHO et al., 2018; BRESCIANI et al., 2010; BUCHHEIT, 2015; MONTES; GOMES, 2014; PADILHAS et al., 2018; PEREIRA et al., 2014; RATZ-SULYOK et al., 2026; ROCHA; LOPES; MORAES, 2010</w:t>
            </w:r>
          </w:p>
        </w:tc>
        <w:tc>
          <w:tcPr>
            <w:tcW w:w="3061"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Variação de dimensões isoladas com a carga; baixa sensibilidade do POMS mensal ao desempenho</w:t>
            </w:r>
          </w:p>
        </w:tc>
        <w:tc>
          <w:tcPr>
            <w:tcW w:w="1134" w:type="dxa"/>
            <w:tcBorders>
              <w:top w:val="single" w:sz="4" w:color="000000"/>
              <w:left w:val="single" w:sz="4" w:color="000000"/>
              <w:bottom w:val="single" w:sz="4" w:color="000000"/>
              <w:right w:val="single" w:sz="4" w:color="000000"/>
            </w:tcBorders>
          </w:tcPr>
          <w:p>
            <w:pPr>
              <w:spacing w:lineRule="exact" w:line="200" w:before="20" w:after="20"/>
              <w:jc w:val="center"/>
            </w:pPr>
            <w:r>
              <w:rPr>
                <w:rFonts w:ascii="Times New Roman" w:hAnsi="Times New Roman"/>
                <w:i w:val="0"/>
                <w:sz w:val="17"/>
              </w:rPr>
              <w:t>1 / 5 / 2</w:t>
            </w:r>
          </w:p>
        </w:tc>
      </w:tr>
      <w:tr>
        <w:tc>
          <w:tcPr>
            <w:tcW w:w="1814"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Variáveis psicológicas e contexto</w:t>
            </w:r>
          </w:p>
        </w:tc>
        <w:tc>
          <w:tcPr>
            <w:tcW w:w="3061"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AKROUSH et al., 2025; BATALLA-GAVALDA et al., 2021; IVANOVIĆ; IVANOVIĆ, 2023; KHAZDOZI; BAHARI; ASHAYERI, 2017; LUJIC; PRSKALO; BRATKO, 2023; MIRALLES-AMORÓS et al., 2023; MON-LÓPEZ et al., 2020; RATZ-SULYOK et al., 2026; REIGAL et al., 2020; ZURITA ORTEGA et al., 2014</w:t>
            </w:r>
          </w:p>
        </w:tc>
        <w:tc>
          <w:tcPr>
            <w:tcW w:w="3061"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Habilidades psicológicas, autoconfiança e prática regular associadas a humor mais favorável; solidão e confinamento associados a afeto negativo</w:t>
            </w:r>
          </w:p>
        </w:tc>
        <w:tc>
          <w:tcPr>
            <w:tcW w:w="1134" w:type="dxa"/>
            <w:tcBorders>
              <w:top w:val="single" w:sz="4" w:color="000000"/>
              <w:left w:val="single" w:sz="4" w:color="000000"/>
              <w:bottom w:val="single" w:sz="4" w:color="000000"/>
              <w:right w:val="single" w:sz="4" w:color="000000"/>
            </w:tcBorders>
          </w:tcPr>
          <w:p>
            <w:pPr>
              <w:spacing w:lineRule="exact" w:line="200" w:before="20" w:after="20"/>
              <w:jc w:val="center"/>
            </w:pPr>
            <w:r>
              <w:rPr>
                <w:rFonts w:ascii="Times New Roman" w:hAnsi="Times New Roman"/>
                <w:i w:val="0"/>
                <w:sz w:val="17"/>
              </w:rPr>
              <w:t>5 / 3 / 2</w:t>
            </w:r>
          </w:p>
        </w:tc>
      </w:tr>
      <w:tr>
        <w:tc>
          <w:tcPr>
            <w:tcW w:w="1814"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Intervenções verbais e psicológicas</w:t>
            </w:r>
          </w:p>
        </w:tc>
        <w:tc>
          <w:tcPr>
            <w:tcW w:w="3061"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AL-WATTAR; AL-BADRANE, 2014; AYDI et al., 2025; DIACHENKO; TYSHCHENKO, 2025; GARCÍA-HERRERO et al., 2022; KHAZDOZI; BAHARI; ASHAYERI, 2017; ROCHA; LOPES; MORAES, 2010; SAHLI et al., 2022, 2024; SOTO; GARCÍA-HERRERO; CARCEDO, 2020</w:t>
            </w:r>
          </w:p>
        </w:tc>
        <w:tc>
          <w:tcPr>
            <w:tcW w:w="3061"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Encorajamento verbal, individual ou combinado com instrução, associado a humor mais favorável; feedback negativo reduziu o afeto positivo; programas e música com protocolo pouco descrito</w:t>
            </w:r>
          </w:p>
        </w:tc>
        <w:tc>
          <w:tcPr>
            <w:tcW w:w="1134" w:type="dxa"/>
            <w:tcBorders>
              <w:top w:val="single" w:sz="4" w:color="000000"/>
              <w:left w:val="single" w:sz="4" w:color="000000"/>
              <w:bottom w:val="single" w:sz="4" w:color="000000"/>
              <w:right w:val="single" w:sz="4" w:color="000000"/>
            </w:tcBorders>
          </w:tcPr>
          <w:p>
            <w:pPr>
              <w:spacing w:lineRule="exact" w:line="200" w:before="20" w:after="20"/>
              <w:jc w:val="center"/>
            </w:pPr>
            <w:r>
              <w:rPr>
                <w:rFonts w:ascii="Times New Roman" w:hAnsi="Times New Roman"/>
                <w:i w:val="0"/>
                <w:sz w:val="17"/>
              </w:rPr>
              <w:t>7 / 1 / 1</w:t>
            </w:r>
          </w:p>
        </w:tc>
      </w:tr>
      <w:tr>
        <w:tc>
          <w:tcPr>
            <w:tcW w:w="1814"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Nutrição e suplementação</w:t>
            </w:r>
          </w:p>
        </w:tc>
        <w:tc>
          <w:tcPr>
            <w:tcW w:w="3061"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ASSUNÇÃO CARVALHO et al., 2018; MIRALLES-AMORÓS et al., 2023</w:t>
            </w:r>
          </w:p>
        </w:tc>
        <w:tc>
          <w:tcPr>
            <w:tcW w:w="3061" w:type="dxa"/>
            <w:tcBorders>
              <w:top w:val="single" w:sz="4" w:color="000000"/>
              <w:left w:val="single" w:sz="4" w:color="000000"/>
              <w:bottom w:val="single" w:sz="4" w:color="000000"/>
              <w:right w:val="single" w:sz="4" w:color="000000"/>
            </w:tcBorders>
          </w:tcPr>
          <w:p>
            <w:pPr>
              <w:spacing w:lineRule="exact" w:line="200" w:before="20" w:after="20"/>
              <w:jc w:val="left"/>
            </w:pPr>
            <w:r>
              <w:rPr>
                <w:rFonts w:ascii="Times New Roman" w:hAnsi="Times New Roman"/>
                <w:i w:val="0"/>
                <w:sz w:val="17"/>
              </w:rPr>
              <w:t>Melhora apenas intragrupo com a suplementação; sem efeito de tempo nem interação com os planos alimentares</w:t>
            </w:r>
          </w:p>
        </w:tc>
        <w:tc>
          <w:tcPr>
            <w:tcW w:w="1134" w:type="dxa"/>
            <w:tcBorders>
              <w:top w:val="single" w:sz="4" w:color="000000"/>
              <w:left w:val="single" w:sz="4" w:color="000000"/>
              <w:bottom w:val="single" w:sz="4" w:color="000000"/>
              <w:right w:val="single" w:sz="4" w:color="000000"/>
            </w:tcBorders>
          </w:tcPr>
          <w:p>
            <w:pPr>
              <w:spacing w:lineRule="exact" w:line="200" w:before="20" w:after="20"/>
              <w:jc w:val="center"/>
            </w:pPr>
            <w:r>
              <w:rPr>
                <w:rFonts w:ascii="Times New Roman" w:hAnsi="Times New Roman"/>
                <w:i w:val="0"/>
                <w:sz w:val="17"/>
              </w:rPr>
              <w:t>0 / 2 / 0</w:t>
            </w:r>
          </w:p>
        </w:tc>
      </w:tr>
      <w:tr>
        <w:tc>
          <w:tcPr>
            <w:tcW w:w="1814" w:type="dxa"/>
            <w:tcBorders>
              <w:top w:val="single" w:sz="4" w:color="000000"/>
              <w:left w:val="single" w:sz="4" w:color="000000"/>
              <w:bottom w:val="single" w:sz="8" w:color="000000"/>
              <w:right w:val="single" w:sz="4" w:color="000000"/>
            </w:tcBorders>
          </w:tcPr>
          <w:p>
            <w:pPr>
              <w:spacing w:lineRule="exact" w:line="200" w:before="20" w:after="20"/>
              <w:jc w:val="left"/>
            </w:pPr>
            <w:r>
              <w:rPr>
                <w:rFonts w:ascii="Times New Roman" w:hAnsi="Times New Roman"/>
                <w:i w:val="0"/>
                <w:sz w:val="17"/>
              </w:rPr>
              <w:t>Ciclo menstrual e horário do dia</w:t>
            </w:r>
          </w:p>
        </w:tc>
        <w:tc>
          <w:tcPr>
            <w:tcW w:w="3061" w:type="dxa"/>
            <w:tcBorders>
              <w:top w:val="single" w:sz="4" w:color="000000"/>
              <w:left w:val="single" w:sz="4" w:color="000000"/>
              <w:bottom w:val="single" w:sz="8" w:color="000000"/>
              <w:right w:val="single" w:sz="4" w:color="000000"/>
            </w:tcBorders>
          </w:tcPr>
          <w:p>
            <w:pPr>
              <w:spacing w:lineRule="exact" w:line="200" w:before="20" w:after="20"/>
              <w:jc w:val="left"/>
            </w:pPr>
            <w:r>
              <w:rPr>
                <w:rFonts w:ascii="Times New Roman" w:hAnsi="Times New Roman"/>
                <w:i w:val="0"/>
                <w:sz w:val="17"/>
              </w:rPr>
              <w:t>ESSID et al., 2022; GHAZEL et al., 2022; LISENCHUK et al., 2019; MORENAS-AGUILAR et al., 2023</w:t>
            </w:r>
          </w:p>
        </w:tc>
        <w:tc>
          <w:tcPr>
            <w:tcW w:w="3061" w:type="dxa"/>
            <w:tcBorders>
              <w:top w:val="single" w:sz="4" w:color="000000"/>
              <w:left w:val="single" w:sz="4" w:color="000000"/>
              <w:bottom w:val="single" w:sz="8" w:color="000000"/>
              <w:right w:val="single" w:sz="4" w:color="000000"/>
            </w:tcBorders>
          </w:tcPr>
          <w:p>
            <w:pPr>
              <w:spacing w:lineRule="exact" w:line="200" w:before="20" w:after="20"/>
              <w:jc w:val="left"/>
            </w:pPr>
            <w:r>
              <w:rPr>
                <w:rFonts w:ascii="Times New Roman" w:hAnsi="Times New Roman"/>
                <w:i w:val="0"/>
                <w:sz w:val="17"/>
              </w:rPr>
              <w:t>Humor mais negativo nas fases menstrual e pré-menstrual e pela manhã; valência afetiva sem diferença entre as fases em um estudo</w:t>
            </w:r>
          </w:p>
        </w:tc>
        <w:tc>
          <w:tcPr>
            <w:tcW w:w="1134" w:type="dxa"/>
            <w:tcBorders>
              <w:top w:val="single" w:sz="4" w:color="000000"/>
              <w:left w:val="single" w:sz="4" w:color="000000"/>
              <w:bottom w:val="single" w:sz="8" w:color="000000"/>
              <w:right w:val="single" w:sz="4" w:color="000000"/>
            </w:tcBorders>
          </w:tcPr>
          <w:p>
            <w:pPr>
              <w:spacing w:lineRule="exact" w:line="200" w:before="20" w:after="20"/>
              <w:jc w:val="center"/>
            </w:pPr>
            <w:r>
              <w:rPr>
                <w:rFonts w:ascii="Times New Roman" w:hAnsi="Times New Roman"/>
                <w:i w:val="0"/>
                <w:sz w:val="17"/>
              </w:rPr>
              <w:t>3 / 0 / 1</w:t>
            </w:r>
          </w:p>
        </w:tc>
      </w:tr>
    </w:tbl>
    <w:p>
      <w:pPr>
        <w:spacing w:before="40" w:after="0" w:line="240" w:lineRule="auto"/>
        <w:ind w:left="0" w:firstLine="0"/>
        <w:jc w:val="both"/>
      </w:pPr>
      <w:r>
        <w:rPr>
          <w:rFonts w:ascii="Times New Roman" w:hAnsi="Times New Roman"/>
          <w:i w:val="0"/>
          <w:sz w:val="20"/>
        </w:rPr>
        <w:t>Nota: outros: sem efeito, descritivo ou não determinável; um estudo pode compor mais de um grupo.</w:t>
      </w:r>
    </w:p>
    <w:p>
      <w:pPr>
        <w:spacing w:before="0" w:after="160" w:line="240" w:lineRule="auto"/>
        <w:ind w:left="0" w:firstLine="0"/>
        <w:jc w:val="left"/>
      </w:pPr>
      <w:r>
        <w:rPr>
          <w:rFonts w:ascii="Times New Roman" w:hAnsi="Times New Roman"/>
          <w:i w:val="0"/>
          <w:sz w:val="20"/>
        </w:rPr>
        <w:t>Fonte: elaborada pelos autores (2026).</w:t>
      </w:r>
    </w:p>
    <w:p>
      <w:pPr>
        <w:spacing w:before="0" w:after="0" w:line="360" w:lineRule="auto"/>
        <w:ind w:left="0" w:firstLine="709"/>
        <w:jc w:val="both"/>
      </w:pPr>
      <w:r>
        <w:rPr>
          <w:rFonts w:ascii="Times New Roman" w:hAnsi="Times New Roman"/>
          <w:i w:val="0"/>
          <w:sz w:val="24"/>
        </w:rPr>
        <w:t>Nas fichas da leitura integral, 25 estudos registraram efeitos por dimensão do humor (Figura 4). O vigor e a fadiga reuniram o maior número de estudos com mudança ou associação (7 cada), seguidos da depressão (5); a perturbação total teve mais estudos com resultados mistos (4) que com mudança (3). Apenas um estudo registrou mudança nas seis dimensões do POMS ou da BRUMS (SAHLI et al., 2024), e três não registraram diferença em nenhuma das dimensões relatadas (GARCÍA-HERRERO et al., 2022; MIRALLES-AMORÓS et al., 2023; MORENAS-AGUILAR et al., 2023).</w:t>
      </w:r>
    </w:p>
    <w:p>
      <w:pPr>
        <w:keepNext/>
        <w:spacing w:before="120" w:after="60" w:line="240" w:lineRule="auto"/>
        <w:ind w:left="0" w:firstLine="0"/>
        <w:jc w:val="both"/>
      </w:pPr>
      <w:r>
        <w:rPr>
          <w:rFonts w:ascii="Times New Roman" w:hAnsi="Times New Roman"/>
          <w:b/>
          <w:sz w:val="20"/>
        </w:rPr>
        <w:t>Figura 4</w:t>
      </w:r>
      <w:r>
        <w:rPr>
          <w:rFonts w:ascii="Times New Roman" w:hAnsi="Times New Roman"/>
          <w:i w:val="0"/>
          <w:sz w:val="20"/>
        </w:rPr>
        <w:t xml:space="preserve"> – Mapa dos resultados por estudo e dimensão do humor, segundo a leitura integral</w:t>
      </w:r>
    </w:p>
    <w:p>
      <w:pPr>
        <w:keepNext/>
        <w:spacing w:before="0" w:after="0" w:line="240" w:lineRule="auto"/>
        <w:ind w:left="0" w:firstLine="0"/>
        <w:jc w:val="center"/>
      </w:pPr>
      <w:r>
        <w:drawing>
          <wp:inline xmlns:a="http://schemas.openxmlformats.org/drawingml/2006/main" xmlns:pic="http://schemas.openxmlformats.org/drawingml/2006/picture">
            <wp:extent cx="5220000" cy="5791173"/>
            <wp:docPr id="4" name="Picture 4"/>
            <wp:cNvGraphicFramePr>
              <a:graphicFrameLocks noChangeAspect="1"/>
            </wp:cNvGraphicFramePr>
            <a:graphic>
              <a:graphicData uri="http://schemas.openxmlformats.org/drawingml/2006/picture">
                <pic:pic>
                  <pic:nvPicPr>
                    <pic:cNvPr id="0" name="Figura6_Mapa_Dimensoes_RS.png"/>
                    <pic:cNvPicPr/>
                  </pic:nvPicPr>
                  <pic:blipFill>
                    <a:blip r:embed="rId13"/>
                    <a:stretch>
                      <a:fillRect/>
                    </a:stretch>
                  </pic:blipFill>
                  <pic:spPr>
                    <a:xfrm>
                      <a:off x="0" y="0"/>
                      <a:ext cx="5220000" cy="5791173"/>
                    </a:xfrm>
                    <a:prstGeom prst="rect"/>
                  </pic:spPr>
                </pic:pic>
              </a:graphicData>
            </a:graphic>
          </wp:inline>
        </w:drawing>
      </w:r>
    </w:p>
    <w:p>
      <w:pPr>
        <w:spacing w:before="40" w:after="0" w:line="240" w:lineRule="auto"/>
        <w:ind w:left="0" w:firstLine="0"/>
        <w:jc w:val="both"/>
      </w:pPr>
      <w:r>
        <w:rPr>
          <w:rFonts w:ascii="Times New Roman" w:hAnsi="Times New Roman"/>
          <w:i w:val="0"/>
          <w:sz w:val="20"/>
        </w:rPr>
        <w:t>Nota: azul: mudança ou associação relatada; laranja: comparações com e sem diferença na mesma dimensão; cinza: sem mudança ou associação; célula vazia: dimensão não medida ou sem efeito registrado na ficha; perturbação total: escore total do POMS ou da BRUMS; valência afetiva: Feeling Scale ou SAM; estudos em ordem cronológica.</w:t>
      </w:r>
    </w:p>
    <w:p>
      <w:pPr>
        <w:spacing w:before="0" w:after="160" w:line="240" w:lineRule="auto"/>
        <w:ind w:left="0" w:firstLine="0"/>
        <w:jc w:val="left"/>
      </w:pPr>
      <w:r>
        <w:rPr>
          <w:rFonts w:ascii="Times New Roman" w:hAnsi="Times New Roman"/>
          <w:i w:val="0"/>
          <w:sz w:val="20"/>
        </w:rPr>
        <w:t>Fonte: elaborada pelos autores (2026).</w:t>
      </w:r>
    </w:p>
    <w:p>
      <w:pPr>
        <w:spacing w:before="0" w:after="0" w:line="360" w:lineRule="auto"/>
        <w:ind w:left="0" w:firstLine="709"/>
        <w:jc w:val="both"/>
      </w:pPr>
      <w:r>
        <w:rPr>
          <w:rFonts w:ascii="Times New Roman" w:hAnsi="Times New Roman"/>
          <w:i w:val="0"/>
          <w:sz w:val="24"/>
        </w:rPr>
        <w:t>Por dimensão, a depressão, a raiva e a confusão variaram com a modalidade no confinamento, com a fase do ciclo menstrual, com o horário e com o encorajamento verbal (BATALLA-GAVALDA et al., 2021; ESSID et al., 2022; GHAZEL et al., 2022; SAHLI et al., 2024), e a tensão não se alterou após a partida nem entre o jogo e os testes de campo (BATALLA-GAVALDA et al., 2025; OBREGÓN SIBÓN et al., 2017). A perturbação total variou com a idade, o tipo de teste, a suplementação e a modalidade, mas permaneceu estável ao longo da temporada e da intertemporada (BRESCIANI et al., 2010; PADILHAS et al., 2018). O afeto positivo e o negativo diferiram entre praticantes e inativos e associaram-se à solidão (IVANOVIĆ; IVANOVIĆ, 2023; LUJIC; PRSKALO; BRATKO, 2023), mas apenas o afeto positivo respondeu ao feedback negativo (SOTO; GARCÍA-HERRERO; CARCEDO, 2020). A valência afetiva mudou em três estudos e não diferiu entre as fases do ciclo menstrual em um (MORENAS-AGUILAR et al., 2023).</w:t>
      </w:r>
    </w:p>
    <w:p>
      <w:pPr>
        <w:spacing w:before="0" w:after="0" w:line="360" w:lineRule="auto"/>
        <w:ind w:left="0" w:firstLine="709"/>
        <w:jc w:val="both"/>
      </w:pPr>
      <w:r>
        <w:rPr>
          <w:rFonts w:ascii="Times New Roman" w:hAnsi="Times New Roman"/>
          <w:i w:val="0"/>
          <w:sz w:val="24"/>
        </w:rPr>
        <w:t>A magnitude padronizada (d de Cohen) foi obtida em 10 estudos, com 60 comparações; a Figura 5 apresenta a de maior magnitude por estudo e dimensão. Três estudos relataram o d (AYDI et al., 2025; BATALLA-GAVALDA et al., 2025; LUJIC; PRSKALO; BRATKO, 2023), e apenas um informou o intervalo de confiança (BATALLA-GAVALDA et al., 2025); nos demais, o d foi calculado pelos revisores a partir de médias e DP. Os valores relatados variaram de 0,17 a 1,51, e o maior deles corresponde ao vigor no jogo com encorajamento verbal (AYDI et al., 2025). Os maiores valores calculados ocorreram em comparações não testadas ou sem significância segundo os autores, como a fadiga ao longo da temporada (BRESCIANI et al., 2010) e a perturbação total entre modalidades (PEREIRA et al., 2014), e em comparações em que modalidade e sexo se confundem (BATALLA-GAVALDA et al., 2021).</w:t>
      </w:r>
    </w:p>
    <w:p>
      <w:pPr>
        <w:keepNext/>
        <w:spacing w:before="120" w:after="60" w:line="240" w:lineRule="auto"/>
        <w:ind w:left="0" w:firstLine="0"/>
        <w:jc w:val="both"/>
      </w:pPr>
      <w:r>
        <w:rPr>
          <w:rFonts w:ascii="Times New Roman" w:hAnsi="Times New Roman"/>
          <w:b/>
          <w:sz w:val="20"/>
        </w:rPr>
        <w:t>Figura 5</w:t>
      </w:r>
      <w:r>
        <w:rPr>
          <w:rFonts w:ascii="Times New Roman" w:hAnsi="Times New Roman"/>
          <w:i w:val="0"/>
          <w:sz w:val="20"/>
        </w:rPr>
        <w:t xml:space="preserve"> – Magnitude dos efeitos padronizados por dimensão do humor</w:t>
      </w:r>
    </w:p>
    <w:p>
      <w:pPr>
        <w:keepNext/>
        <w:spacing w:before="0" w:after="0" w:line="240" w:lineRule="auto"/>
        <w:ind w:left="0" w:firstLine="0"/>
        <w:jc w:val="center"/>
      </w:pPr>
      <w:r>
        <w:drawing>
          <wp:inline xmlns:a="http://schemas.openxmlformats.org/drawingml/2006/main" xmlns:pic="http://schemas.openxmlformats.org/drawingml/2006/picture">
            <wp:extent cx="5040000" cy="8122534"/>
            <wp:docPr id="5" name="Picture 5"/>
            <wp:cNvGraphicFramePr>
              <a:graphicFrameLocks noChangeAspect="1"/>
            </wp:cNvGraphicFramePr>
            <a:graphic>
              <a:graphicData uri="http://schemas.openxmlformats.org/drawingml/2006/picture">
                <pic:pic>
                  <pic:nvPicPr>
                    <pic:cNvPr id="0" name="Figura7_Magnitude_Efeitos_RS.png"/>
                    <pic:cNvPicPr/>
                  </pic:nvPicPr>
                  <pic:blipFill>
                    <a:blip r:embed="rId14"/>
                    <a:stretch>
                      <a:fillRect/>
                    </a:stretch>
                  </pic:blipFill>
                  <pic:spPr>
                    <a:xfrm>
                      <a:off x="0" y="0"/>
                      <a:ext cx="5040000" cy="8122534"/>
                    </a:xfrm>
                    <a:prstGeom prst="rect"/>
                  </pic:spPr>
                </pic:pic>
              </a:graphicData>
            </a:graphic>
          </wp:inline>
        </w:drawing>
      </w:r>
    </w:p>
    <w:p>
      <w:pPr>
        <w:spacing w:before="40" w:after="0" w:line="240" w:lineRule="auto"/>
        <w:ind w:left="0" w:firstLine="0"/>
        <w:jc w:val="both"/>
      </w:pPr>
      <w:r>
        <w:rPr>
          <w:rFonts w:ascii="Times New Roman" w:hAnsi="Times New Roman"/>
          <w:i w:val="0"/>
          <w:sz w:val="20"/>
        </w:rPr>
        <w:t>Nota: um ponto por estudo e dimensão, com o maior |d| entre as comparações; [k]: número de comparações; círculo cheio: d relatado pelos autores; círculo vazado: d calculado pelos revisores a partir de médias e DP, sem considerar a correlação entre medidas repetidas; barra horizontal: IC 95% relatado; linhas tracejadas: limiares de efeito pequeno, moderado e grande; cores conforme a direção do efeito sobre o humor; os relatórios (BATALLA-GAVALDA et al., 2025, 2026) descrevem a mesma amostra, e apenas o primeiro consta da figura.</w:t>
      </w:r>
    </w:p>
    <w:p>
      <w:pPr>
        <w:spacing w:before="0" w:after="160" w:line="240" w:lineRule="auto"/>
        <w:ind w:left="0" w:firstLine="0"/>
        <w:jc w:val="left"/>
      </w:pPr>
      <w:r>
        <w:rPr>
          <w:rFonts w:ascii="Times New Roman" w:hAnsi="Times New Roman"/>
          <w:i w:val="0"/>
          <w:sz w:val="20"/>
        </w:rPr>
        <w:t>Fonte: elaborada pelos autores (2026).</w:t>
      </w:r>
    </w:p>
    <w:p>
      <w:pPr>
        <w:keepNext/>
        <w:spacing w:before="240" w:after="120" w:line="360" w:lineRule="auto"/>
        <w:ind w:left="0" w:firstLine="0"/>
        <w:jc w:val="left"/>
      </w:pPr>
      <w:r>
        <w:rPr>
          <w:rFonts w:ascii="Times New Roman" w:hAnsi="Times New Roman"/>
          <w:b/>
          <w:sz w:val="24"/>
        </w:rPr>
        <w:t>3.4 Intervenções sobre o humor (QP4)</w:t>
      </w:r>
    </w:p>
    <w:p>
      <w:pPr>
        <w:spacing w:before="0" w:after="0" w:line="360" w:lineRule="auto"/>
        <w:ind w:left="0" w:firstLine="709"/>
        <w:jc w:val="both"/>
      </w:pPr>
      <w:r>
        <w:rPr>
          <w:rFonts w:ascii="Times New Roman" w:hAnsi="Times New Roman"/>
          <w:i w:val="0"/>
          <w:sz w:val="24"/>
        </w:rPr>
        <w:t>Doze estudos manipularam uma condição e mediram o humor como desfecho (Apêndice B): encorajamento verbal em três (AYDI et al., 2025; SAHLI et al., 2022, 2024), feedback em dois (GARCÍA-HERRERO et al., 2022; SOTO; GARCÍA-HERRERO; CARCEDO, 2020), programas psicológicos em dois (AL-WATTAR; AL-BADRANE, 2014; DIACHENKO; TYSHCHENKO, 2025), música em dois (GHAZEL et al., 2022; KHAZDOZI; BAHARI; ASHAYERI, 2017), intervenção nutricional em dois (ASSUNÇÃO CARVALHO et al., 2018; MIRALLES-AMORÓS et al., 2023) e informação sobre a duração do esforço em um (ROCHA; LOPES; MORAES, 2010). Cinco compararam condições nos mesmos participantes (AL-WATTAR; AL-BADRANE, 2014; AYDI et al., 2025; GHAZEL et al., 2022; ROCHA; LOPES; MORAES, 2010; SAHLI et al., 2022), e os demais, grupos paralelos. A exposição limitou-se a uma a quatro sessões em metade dos estudos; apenas o programa de autorregulação, a suplementação e os planos alimentares duraram semanas (AL-WATTAR; AL-BADRANE, 2014; ASSUNÇÃO CARVALHO et al., 2018; MIRALLES-AMORÓS et al., 2023), e dois estudos não relataram a duração (DIACHENKO; TYSHCHENKO, 2025; KHAZDOZI; BAHARI; ASHAYERI, 2017).</w:t>
      </w:r>
    </w:p>
    <w:p>
      <w:pPr>
        <w:spacing w:before="0" w:after="0" w:line="360" w:lineRule="auto"/>
        <w:ind w:left="0" w:firstLine="709"/>
        <w:jc w:val="both"/>
      </w:pPr>
      <w:r>
        <w:rPr>
          <w:rFonts w:ascii="Times New Roman" w:hAnsi="Times New Roman"/>
          <w:i w:val="0"/>
          <w:sz w:val="24"/>
        </w:rPr>
        <w:t>Os três estudos de encorajamento verbal, todos com escolares, relataram humor mais favorável na condição com encorajamento. O maior conjunto de efeitos ocorreu na comparação entre encorajamento individual e coletivo, com interação nas seis dimensões da BRUMS (SAHLI et al., 2024); nesse estudo, as condições diferiram também no momento do encorajamento, e a aprovação ética é posterior à coleta. No jogo de passes, os tamanhos de efeito do vigor e da perturbação total coincidem numericamente com os de variáveis cardíacas, e o resumo traz -1,11 para o vigor (AYDI et al., 2025). O feedback negativo reduziu o afeto positivo (SOTO; GARCÍA-HERRERO; CARCEDO, 2020), e o feedback comparativo não alterou o afeto (GARCÍA-HERRERO et al., 2022). Nas intervenções nutricionais, a melhora da perturbação total restringiu-se à comparação intragrupo (ASSUNÇÃO CARVALHO et al., 2018), e a tabela dos planos alimentares não mostra efeito de tempo nem interação, ao contrário do resumo (MIRALLES-AMORÓS et al., 2023). Os estudos com programas psicológicos e com música apresentaram protocolo pouco descrito, delineamento sem grupo controle (AL-WATTAR; AL-BADRANE, 2014), figura incompatível com a diferença relatada (KHAZDOZI; BAHARI; ASHAYERI, 2017) ou dados restritos ao resumo (DIACHENKO; TYSHCHENKO, 2025; GHAZEL et al., 2022).</w:t>
      </w:r>
    </w:p>
    <w:p>
      <w:pPr>
        <w:keepNext/>
        <w:spacing w:before="240" w:after="120" w:line="360" w:lineRule="auto"/>
        <w:ind w:left="0" w:firstLine="0"/>
        <w:jc w:val="left"/>
      </w:pPr>
      <w:r>
        <w:rPr>
          <w:rFonts w:ascii="Times New Roman" w:hAnsi="Times New Roman"/>
          <w:b/>
          <w:sz w:val="24"/>
        </w:rPr>
        <w:t>3.5 Qualidade metodológica e lacunas (QP5)</w:t>
      </w:r>
    </w:p>
    <w:p>
      <w:pPr>
        <w:spacing w:before="0" w:after="0" w:line="360" w:lineRule="auto"/>
        <w:ind w:left="0" w:firstLine="709"/>
        <w:jc w:val="both"/>
      </w:pPr>
      <w:r>
        <w:rPr>
          <w:rFonts w:ascii="Times New Roman" w:hAnsi="Times New Roman"/>
          <w:i w:val="0"/>
          <w:sz w:val="24"/>
        </w:rPr>
        <w:t>A qualidade foi reavaliada na leitura integral, e as contagens a seguir refletem essa revisão. A pontuação diminuiu sobretudo pelo item Q6, por incoerências entre análise e dados relatados, como estatísticas não reproduzíveis pelas médias e DP, graus de liberdade ou tamanhos de efeito incoerentes com as estatísticas relatadas, estatísticas relatadas em bloco e divergências entre texto e tabelas (BATALLA-GAVALDA et al., 2021; DURAI; ATHISAYARAJ, 2018; MIRALLES-AMORÓS et al., 2023; RATZ-SULYOK et al., 2026; SAHLI et al., 2022, 2024), e pelo item Q3, por instrumentos sem versão ou confiabilidade declarada (ASSUNÇÃO CARVALHO et al., 2018; DIACHENKO; TYSHCHENKO, 2025; GHAZEL et al., 2022). Em um estudo, a leitura do texto completo elevou a pontuação (AL-WATTAR; AL-BADRANE, 2014). A qualidade foi alta em 14 estudos, moderada em 14 e baixa em 6 (Figura 6). Todos os estudos definiram o objetivo e a população, mas a amostra foi descrita integralmente em 20, o instrumento foi nomeado e validado em 26, o momento da medida foi declarado em 25, houve comparador, controle ou ajuste de confusão em 20, e a análise estatística foi adequada, com medidas de variabilidade, em 10.</w:t>
      </w:r>
    </w:p>
    <w:p>
      <w:pPr>
        <w:keepNext/>
        <w:spacing w:before="120" w:after="60" w:line="240" w:lineRule="auto"/>
        <w:ind w:left="0" w:firstLine="0"/>
        <w:jc w:val="both"/>
      </w:pPr>
      <w:r>
        <w:rPr>
          <w:rFonts w:ascii="Times New Roman" w:hAnsi="Times New Roman"/>
          <w:b/>
          <w:sz w:val="20"/>
        </w:rPr>
        <w:t>Figura 6</w:t>
      </w:r>
      <w:r>
        <w:rPr>
          <w:rFonts w:ascii="Times New Roman" w:hAnsi="Times New Roman"/>
          <w:i w:val="0"/>
          <w:sz w:val="20"/>
        </w:rPr>
        <w:t xml:space="preserve"> – Avaliação da qualidade metodológica dos estudos incluídos (QP5)</w:t>
      </w:r>
    </w:p>
    <w:p>
      <w:pPr>
        <w:keepNext/>
        <w:spacing w:before="0" w:after="0" w:line="240" w:lineRule="auto"/>
        <w:ind w:left="0" w:firstLine="0"/>
        <w:jc w:val="center"/>
      </w:pPr>
      <w:r>
        <w:drawing>
          <wp:inline xmlns:a="http://schemas.openxmlformats.org/drawingml/2006/main" xmlns:pic="http://schemas.openxmlformats.org/drawingml/2006/picture">
            <wp:extent cx="4860000" cy="7137615"/>
            <wp:docPr id="6" name="Picture 6"/>
            <wp:cNvGraphicFramePr>
              <a:graphicFrameLocks noChangeAspect="1"/>
            </wp:cNvGraphicFramePr>
            <a:graphic>
              <a:graphicData uri="http://schemas.openxmlformats.org/drawingml/2006/picture">
                <pic:pic>
                  <pic:nvPicPr>
                    <pic:cNvPr id="0" name="Figura4_Qualidade_RS.png"/>
                    <pic:cNvPicPr/>
                  </pic:nvPicPr>
                  <pic:blipFill>
                    <a:blip r:embed="rId15"/>
                    <a:stretch>
                      <a:fillRect/>
                    </a:stretch>
                  </pic:blipFill>
                  <pic:spPr>
                    <a:xfrm>
                      <a:off x="0" y="0"/>
                      <a:ext cx="4860000" cy="7137615"/>
                    </a:xfrm>
                    <a:prstGeom prst="rect"/>
                  </pic:spPr>
                </pic:pic>
              </a:graphicData>
            </a:graphic>
          </wp:inline>
        </w:drawing>
      </w:r>
    </w:p>
    <w:p>
      <w:pPr>
        <w:spacing w:before="40" w:after="0" w:line="240" w:lineRule="auto"/>
        <w:ind w:left="0" w:firstLine="0"/>
        <w:jc w:val="both"/>
      </w:pPr>
      <w:r>
        <w:rPr>
          <w:rFonts w:ascii="Times New Roman" w:hAnsi="Times New Roman"/>
          <w:i w:val="0"/>
          <w:sz w:val="20"/>
        </w:rPr>
        <w:t>Nota: Q1 a Q6: itens adaptados para estudos observacionais e transversais; sim (+), incerto (?) e não (−); pontuação de 5 a 6, qualidade alta; de 3 a 4, moderada; de 0 a 2, baixa.</w:t>
      </w:r>
    </w:p>
    <w:p>
      <w:pPr>
        <w:spacing w:before="0" w:after="160" w:line="240" w:lineRule="auto"/>
        <w:ind w:left="0" w:firstLine="0"/>
        <w:jc w:val="left"/>
      </w:pPr>
      <w:r>
        <w:rPr>
          <w:rFonts w:ascii="Times New Roman" w:hAnsi="Times New Roman"/>
          <w:i w:val="0"/>
          <w:sz w:val="20"/>
        </w:rPr>
        <w:t>Fonte: elaborada pelos autores (2026).</w:t>
      </w:r>
    </w:p>
    <w:p>
      <w:pPr>
        <w:spacing w:before="0" w:after="0" w:line="360" w:lineRule="auto"/>
        <w:ind w:left="0" w:firstLine="709"/>
        <w:jc w:val="both"/>
      </w:pPr>
      <w:r>
        <w:rPr>
          <w:rFonts w:ascii="Times New Roman" w:hAnsi="Times New Roman"/>
          <w:i w:val="0"/>
          <w:sz w:val="24"/>
        </w:rPr>
        <w:t>As maiores pontuações concentraram-se nos ensaios randomizados e nos estudos cruzados e longitudinais publicados a partir de 2020; as menores, nos estudos transversais e quase-experimentais e nos extraídos apenas do resumo, que pontuaram de 2 a 4. As três maiores amostras corresponderam a estudos transversais (LUJIC; PRSKALO; BRATKO, 2023; MON-LÓPEZ et al., 2020; RATZ-SULYOK et al., 2026), e os estudos de intervenção reuniram de 6 a 73 participantes (AL-WATTAR; AL-BADRANE, 2014; GARCÍA-HERRERO et al., 2022). Quanto às lacunas, nenhuma intervenção testou estratégias de recuperação ou de sono, as intervenções verbais limitaram-se a sessões isoladas, e apenas um estudo confirmou a fase do ciclo menstrual por teste hormonal (MORENAS-AGUILAR et al., 2023). As fragilidades de cada estudo constam do Apêndice D, e as lacunas, da Tabela 3.</w:t>
      </w:r>
    </w:p>
    <w:p>
      <w:pPr>
        <w:keepNext/>
        <w:spacing w:before="240" w:after="240" w:line="360" w:lineRule="auto"/>
        <w:ind w:left="0" w:firstLine="0"/>
        <w:jc w:val="left"/>
      </w:pPr>
      <w:r>
        <w:rPr>
          <w:rFonts w:ascii="Times New Roman" w:hAnsi="Times New Roman"/>
          <w:b/>
          <w:sz w:val="24"/>
        </w:rPr>
        <w:t>4 DISCUSSÃO</w:t>
      </w:r>
    </w:p>
    <w:p>
      <w:pPr>
        <w:spacing w:before="0" w:after="0" w:line="360" w:lineRule="auto"/>
        <w:ind w:left="0" w:firstLine="709"/>
        <w:jc w:val="both"/>
      </w:pPr>
      <w:r>
        <w:rPr>
          <w:rFonts w:ascii="Times New Roman" w:hAnsi="Times New Roman"/>
          <w:i w:val="0"/>
          <w:sz w:val="24"/>
        </w:rPr>
        <w:t>O objetivo desta revisão sistemática foi sintetizar as evidências sobre os estados de humor em atletas de handebol no treinamento e na competição e avaliar a qualidade metodológica dos estudos. Até onde se tem conhecimento, trata-se da primeira revisão sistemática sobre o tema com leitura integral dos estudos incluídos. Os 34 estudos permitiram responder às cinco questões de pesquisa, discutidas a seguir por tópicos. Três constatações atravessam os tópicos: o humor responde à carga, ao contexto competitivo e à interação com treinadores e colegas; o campo depende de um instrumento dominante, aplicado em momentos pouco declarados; e a evidência é escassa, raramente experimental e afetada por falhas de relato, o que confirma a hipótese de trabalho.</w:t>
      </w:r>
    </w:p>
    <w:p>
      <w:pPr>
        <w:keepNext/>
        <w:spacing w:before="240" w:after="120" w:line="360" w:lineRule="auto"/>
        <w:ind w:left="0" w:firstLine="0"/>
        <w:jc w:val="left"/>
      </w:pPr>
      <w:r>
        <w:rPr>
          <w:rFonts w:ascii="Times New Roman" w:hAnsi="Times New Roman"/>
          <w:b/>
          <w:sz w:val="24"/>
        </w:rPr>
        <w:t>4.1 Características dos estudos e das populações (QP1)</w:t>
      </w:r>
    </w:p>
    <w:p>
      <w:pPr>
        <w:spacing w:before="0" w:after="0" w:line="360" w:lineRule="auto"/>
        <w:ind w:left="0" w:firstLine="709"/>
        <w:jc w:val="both"/>
      </w:pPr>
      <w:r>
        <w:rPr>
          <w:rFonts w:ascii="Times New Roman" w:hAnsi="Times New Roman"/>
          <w:i w:val="0"/>
          <w:sz w:val="24"/>
        </w:rPr>
        <w:t>A produção é recente e reduzida, com menos de dois estudos por ano. O predomínio de amostras femininas contrasta com o desequilíbrio usual das ciências do esporte, mas convive com amostras pequenas, com mediana de 24 participantes, e com a omissão do sexo em parte dos estudos. Essa omissão é relevante, pois atletas de elite do sexo feminino relatam mais ansiedade e depressão que os do sexo masculino (KEW et al., 2025; KUO et al., 2025), e, no handebol, as jogadoras confinadas relataram mais depressão e fadiga que os jogadores (MON-LÓPEZ et al., 2020). Como os estudos sobre o ciclo menstrual divergem (GHAZEL et al., 2022; LISENCHUK et al., 2019; MORENAS-AGUILAR et al., 2023), a amostra mista sem análise por sexo impede justamente a comparação de interesse. A divergência repete a literatura geral, em que apenas estudos isolados relataram efeitos do ciclo sobre o humor (PALUDO et al., 2022) e em que os efeitos do ciclo sobre o desempenho de atletas de elite permanecem inconclusivos (MEIGNIÉ et al., 2021).</w:t>
      </w:r>
    </w:p>
    <w:p>
      <w:pPr>
        <w:spacing w:before="0" w:after="0" w:line="360" w:lineRule="auto"/>
        <w:ind w:left="0" w:firstLine="709"/>
        <w:jc w:val="both"/>
      </w:pPr>
      <w:r>
        <w:rPr>
          <w:rFonts w:ascii="Times New Roman" w:hAnsi="Times New Roman"/>
          <w:i w:val="0"/>
          <w:sz w:val="24"/>
        </w:rPr>
        <w:t>Três estudos avaliaram escolares, e não atletas (AYDI et al., 2025; SAHLI et al., 2022, 2024). A concentração na Espanha, na Tunísia e no Brasil, somada a estudos do Irã, do Iraque e da Jordânia, revela um campo internacional, porém apoiado em versões traduzidas cuja equivalência transcultural nem sempre foi verificada (HAN; PARSONS-SMITH; TERRY, 2020; TERRY et al., 2022). Essa verificação é necessária, pois o POMS abreviado não manteve sua estrutura original em atletas chineses (TAN et al., 2024).</w:t>
      </w:r>
    </w:p>
    <w:p>
      <w:pPr>
        <w:keepNext/>
        <w:spacing w:before="240" w:after="120" w:line="360" w:lineRule="auto"/>
        <w:ind w:left="0" w:firstLine="0"/>
        <w:jc w:val="left"/>
      </w:pPr>
      <w:r>
        <w:rPr>
          <w:rFonts w:ascii="Times New Roman" w:hAnsi="Times New Roman"/>
          <w:b/>
          <w:sz w:val="24"/>
        </w:rPr>
        <w:t>4.2 Instrumentos, dimensões e momento da medida (QP2)</w:t>
      </w:r>
    </w:p>
    <w:p>
      <w:pPr>
        <w:spacing w:before="0" w:after="0" w:line="360" w:lineRule="auto"/>
        <w:ind w:left="0" w:firstLine="709"/>
        <w:jc w:val="both"/>
      </w:pPr>
      <w:r>
        <w:rPr>
          <w:rFonts w:ascii="Times New Roman" w:hAnsi="Times New Roman"/>
          <w:i w:val="0"/>
          <w:sz w:val="24"/>
        </w:rPr>
        <w:t>O POMS respondeu por pouco mais da metade dos estudos, em versões de 30 a 65 itens pouco comparáveis entre si. Sua versão abreviada, a Brunel Mood Scale, foi concebida para a aplicação repetida no treinamento (ROHLFS et al., 2008; TERRY; LANE; FOGARTY, 2003), mas apareceu em apenas três estudos. As escalas de afeto, como o PANAS e a Feeling Scale, medem outro construto, a valência afetiva geral ou momentânea (EKKEKAKIS; BRAND, 2019; HARDY; REJESKI, 1989; WATSON; CLARK; TELLEGEN, 1988), e não devem ser somadas ao perfil de humor. Além disso, o momento de aplicação da Feeling Scale não é padronizado (BASTOS et al., 2023).</w:t>
      </w:r>
    </w:p>
    <w:p>
      <w:pPr>
        <w:spacing w:before="0" w:after="0" w:line="360" w:lineRule="auto"/>
        <w:ind w:left="0" w:firstLine="709"/>
        <w:jc w:val="both"/>
      </w:pPr>
      <w:r>
        <w:rPr>
          <w:rFonts w:ascii="Times New Roman" w:hAnsi="Times New Roman"/>
          <w:i w:val="0"/>
          <w:sz w:val="24"/>
        </w:rPr>
        <w:t>A leitura integral revelou outros problemas de mensuração. Algumas versões não correspondem à referência citada (ASSUNÇÃO CARVALHO et al., 2018; KHAZDOZI; BAHARI; ASHAYERI, 2017), e uma lista de padrões de humor mede construto próximo do temperamento (AKROUSH et al., 2025). A constante da perturbação total (BRESCIANI et al., 2010) e a confiabilidade na amostra (BATALLA-GAVALDA et al., 2021, 2025) foram omitidas com frequência. No SAM, valores baixos indicaram humor positivo, sentido inverso ao usual (LAGNER et al., 2015), e um escore total maior do POMS foi interpretado como humor melhor (DURAI; ATHISAYARAJ, 2018). Os itens únicos captam a variação momentânea, mas não as dimensões do perfil (MORENAS-AGUILAR et al., 2023; SAHLI et al., 2022). As escalas de múltiplos itens têm, em grande parte, propriedades de medida aceitáveis, ao passo que os itens únicos mais usados não foram validados (JEFFRIES et al., 2020).</w:t>
      </w:r>
    </w:p>
    <w:p>
      <w:pPr>
        <w:spacing w:before="0" w:after="0" w:line="360" w:lineRule="auto"/>
        <w:ind w:left="0" w:firstLine="709"/>
        <w:jc w:val="both"/>
      </w:pPr>
      <w:r>
        <w:rPr>
          <w:rFonts w:ascii="Times New Roman" w:hAnsi="Times New Roman"/>
          <w:i w:val="0"/>
          <w:sz w:val="24"/>
        </w:rPr>
        <w:t>O ponto mais crítico é o momento da medida. Um mesmo escore de vigor tem significados distintos antes de um jogo decisivo, após uma sessão de carga elevada ou em um dia de descanso (BEEDIE; TERRY; LANE, 2000; LOCHBAUM et al., 2021). Na comparação entre jogos oficiais e testes de campo, o POMS foi aplicado antes de cada teste e de cada jogo. O perfil mais perturbado associado ao teste intermitente reflete, portanto, o estado prévio das jogadoras, e não a resposta ao teste, como interpretado pelos autores (BATALLA-GAVALDA et al., 2025). No relatório complementar, o momento nem foi declarado (BATALLA-GAVALDA et al., 2026). O horário integra esse problema. Jogadores de elite tiveram mais estados negativos pela manhã (ESSID et al., 2022), e o desempenho neuromuscular em esportes coletivos foi maior no fim da tarde ou no início da noite (MARTIN-LÓPEZ et al., 2025), mas os sinais do horário do exercício sobre o humor ainda não sustentam recomendações definitivas (HU; CHEN, 2026).</w:t>
      </w:r>
    </w:p>
    <w:p>
      <w:pPr>
        <w:keepNext/>
        <w:spacing w:before="240" w:after="120" w:line="360" w:lineRule="auto"/>
        <w:ind w:left="0" w:firstLine="0"/>
        <w:jc w:val="left"/>
      </w:pPr>
      <w:r>
        <w:rPr>
          <w:rFonts w:ascii="Times New Roman" w:hAnsi="Times New Roman"/>
          <w:b/>
          <w:sz w:val="24"/>
        </w:rPr>
        <w:t>4.3 Variáveis relacionadas ao humor (QP3)</w:t>
      </w:r>
    </w:p>
    <w:p>
      <w:pPr>
        <w:spacing w:before="0" w:after="0" w:line="360" w:lineRule="auto"/>
        <w:ind w:left="0" w:firstLine="709"/>
        <w:jc w:val="both"/>
      </w:pPr>
      <w:r>
        <w:rPr>
          <w:rFonts w:ascii="Times New Roman" w:hAnsi="Times New Roman"/>
          <w:i w:val="0"/>
          <w:sz w:val="24"/>
        </w:rPr>
        <w:t>A variação de dimensões isoladas sem alteração da perturbação total (BRESCIANI et al., 2010; MONTES; GOMES, 2014; PADILHAS et al., 2018) é coerente com o uso clássico do perfil de humor no monitoramento da carga (MORGAN et al., 1987; RAGLIN, 2001) e com a superioridade das medidas autorrelatadas na detecção de respostas ao treinamento (KELLMANN et al., 2018; SAW; MAIN; GASTIN, 2016). Converge também com o futebol, em que os escores do POMS se relacionaram à variação da carga (SELMI et al., 2023), e com o rúgbi de elite, em que cargas diárias predisseram queda do humor com defasagens variáveis (CREWTHER et al., 2025). O escore total pode ocultar mudanças em dimensões específicas, e por isso a leitura do perfil tem sido preferida à da soma (LANE; TERRY, 2000; PARSONS-SMITH; TERRY; MACHIN, 2017). Há, porém, explicações alternativas. A estabilidade da perturbação total pode refletir falta de poder (BRESCIANI et al., 2010), e o ajuste individual da carga pela comissão técnica impede atribuí-la à boa adaptação (PADILHAS et al., 2018). As alterações de humor no overreaching não funcional ou no overtraining apoiam-se, além disso, em evidência limitada e heterogênea (VALDESALICI et al., 2026), e nenhum estudo documentou a transição até o overtraining com queda prolongada do desempenho (WEAKLEY; HALSON; MUJIKA, 2022).</w:t>
      </w:r>
    </w:p>
    <w:p>
      <w:pPr>
        <w:spacing w:before="0" w:after="0" w:line="360" w:lineRule="auto"/>
        <w:ind w:left="0" w:firstLine="709"/>
        <w:jc w:val="both"/>
      </w:pPr>
      <w:r>
        <w:rPr>
          <w:rFonts w:ascii="Times New Roman" w:hAnsi="Times New Roman"/>
          <w:i w:val="0"/>
          <w:sz w:val="24"/>
        </w:rPr>
        <w:t>Quanto ao desempenho, a ausência de correlação com a condição física (MONTES; GOMES, 2014) não permite conclusões, e as medidas mensais do POMS tiveram sensibilidade inferior a 20% para mudanças do desempenho físico (BUCHHEIT, 2015). A resolução temporal pode condicionar esse achado, mas a maior frequência de medida não basta, pois itens únicos de bem-estar, entre eles o humor, associaram-se de modo predominantemente trivial a moderado à carga (DUIGNAN et al., 2020).</w:t>
      </w:r>
    </w:p>
    <w:p>
      <w:pPr>
        <w:spacing w:before="0" w:after="0" w:line="360" w:lineRule="auto"/>
        <w:ind w:left="0" w:firstLine="709"/>
        <w:jc w:val="both"/>
      </w:pPr>
      <w:r>
        <w:rPr>
          <w:rFonts w:ascii="Times New Roman" w:hAnsi="Times New Roman"/>
          <w:i w:val="0"/>
          <w:sz w:val="24"/>
        </w:rPr>
        <w:t>A vitória associou-se a humor mais positivo que o treino (LAGNER et al., 2015), mas a mediação do humor sobre as diferenças de memória foi inferida sem teste formal, e a diferença na memória visuoespacial persistiu após o ajuste. No futebol profissional, a vitória também se associou a mais prazer e melhor bem-estar (FESSI; MOALLA, 2018), e, no basquetebol 3 × 3, a derrota e o jogo equilibrado associaram-se a maior percepção de esforço (SANSONE et al., 2025). No handebol, o bem-estar no dia do jogo, medido por questionário não validado, interagiu com o tipo de partida sobre o resultado (HENZE et al., 2026). A relação inversa, do humor pré-jogo para o resultado, apoia-se apenas na comparação descritiva de duas semifinais (SCHIAVINI; ARENA, 2010). Após uma partida, a fadiga e o vigor variaram com o limiar de dor no ombro, mas o resumo descreve o vigor ora como aumento, ora como diminuição (OBREGÓN SIBÓN et al., 2017). Em atletas de praia, as habilidades psicológicas e a autoconfiança associaram-se a humor mais favorável na véspera da competição (REIGAL et al., 2020), em consonância com os modelos que vinculam a regulação emocional e o clima social ao estado afetivo dos atletas (MEYERS; TAMIR, 2024; ROBAZZA et al., 2022; TAMMINEN et al., 2019).</w:t>
      </w:r>
    </w:p>
    <w:p>
      <w:pPr>
        <w:spacing w:before="0" w:after="0" w:line="360" w:lineRule="auto"/>
        <w:ind w:left="0" w:firstLine="709"/>
        <w:jc w:val="both"/>
      </w:pPr>
      <w:r>
        <w:rPr>
          <w:rFonts w:ascii="Times New Roman" w:hAnsi="Times New Roman"/>
          <w:i w:val="0"/>
          <w:sz w:val="24"/>
        </w:rPr>
        <w:t>No confinamento pela pandemia, a perturbação do humor de jogadoras jovens superou a de atletas do atletismo (BATALLA-GAVALDA et al., 2021), e a solidão predisse o afeto de jogadores juniores (IVANOVIĆ; IVANOVIĆ, 2023). No primeiro estudo, porém, o grupo do handebol era exclusivamente feminino, o que confunde modalidade e sexo, e, no segundo, o sinal do coeficiente da solidão inverteu-se entre as tabelas. Os achados convergem, ainda assim, com a pior saúde mental de atletas na pandemia, atenuada pelo treino domiciliar (JIA et al., 2023), com a associação do apoio social a menos ansiedade e depressão (LUO et al., 2025) e com a solidão como preditora de burnout em atletas adolescentes (PACEWICZ; SMITH; FRANK, 2025).</w:t>
      </w:r>
    </w:p>
    <w:p>
      <w:pPr>
        <w:spacing w:before="0" w:after="0" w:line="360" w:lineRule="auto"/>
        <w:ind w:left="0" w:firstLine="709"/>
        <w:jc w:val="both"/>
      </w:pPr>
      <w:r>
        <w:rPr>
          <w:rFonts w:ascii="Times New Roman" w:hAnsi="Times New Roman"/>
          <w:i w:val="0"/>
          <w:sz w:val="24"/>
        </w:rPr>
        <w:t>A pressão competitiva atua também antes do jogo. A ansiedade foi medida com o humor na véspera (REIGAL et al., 2020), mas sua evolução nas horas que antecedem a partida permanece pouco descrita. Em jovens basquetebolistas, a ansiedade somática aumentou só após a partida (GARCÍA-CEBERINO; FUENTES-GARCÍA; VILLAFAINA, 2022). Em atletas de diversas modalidades, a percepção de ameaça associou-se a mais ansiedade esportiva, e o mindfulness, a menos (KARADEMIR et al., 2026), e, em esgrimistas de elite, a avaliação do estresse, o enfrentamento, a emoção e o desempenho relacionaram-se de forma dinâmica (DORON; MARTINENT, 2021). O humor pré-jogo deve, portanto, ser interpretado com a ansiedade e com a avaliação de desafio ou de ameaça.</w:t>
      </w:r>
    </w:p>
    <w:p>
      <w:pPr>
        <w:spacing w:before="0" w:after="0" w:line="360" w:lineRule="auto"/>
        <w:ind w:left="0" w:firstLine="709"/>
        <w:jc w:val="both"/>
      </w:pPr>
      <w:r>
        <w:rPr>
          <w:rFonts w:ascii="Times New Roman" w:hAnsi="Times New Roman"/>
          <w:i w:val="0"/>
          <w:sz w:val="24"/>
        </w:rPr>
        <w:t>Os estudos incluídos não testaram os mecanismos que ligam a carga, o contexto e o humor, mas a literatura permite delimitar quatro vias, a serem tratadas como hipóteses. A primeira é endócrina. Em jogadoras de handebol, quatro jogos de torneio elevaram o cortisol e a interleucina 6 e reduziram o IGF-1, padrão de ativação do eixo hipotálamo-hipófise-adrenal e de desequilíbrio entre anabolismo e catabolismo (PANCAR et al., 2026). Três estudos incluídos mediram o cortisol com o humor ou o afeto (FARZANEGI et al., [2008?]; RATZ-SULYOK et al., 2026; ROCHA; LOPES; MORAES, 2010), e, no maior deles, o humor não se associou aos hormônios salivares nos modelos ajustados pela idade. No basquetebol profissional, testosterona, cortisol e carga relacionaram-se apenas fracamente com o bem-estar (KAMARAUSKAS et al., 2024), e, no futebol de elite, o estresse, a fadiga e a dor muscular autorrelatados refletiram a queda da aptidão física no período congestionado, ao passo que os marcadores bioquímicos não a refletiram (SAIDI et al., 2022).</w:t>
      </w:r>
    </w:p>
    <w:p>
      <w:pPr>
        <w:spacing w:before="0" w:after="0" w:line="360" w:lineRule="auto"/>
        <w:ind w:left="0" w:firstLine="709"/>
        <w:jc w:val="both"/>
      </w:pPr>
      <w:r>
        <w:rPr>
          <w:rFonts w:ascii="Times New Roman" w:hAnsi="Times New Roman"/>
          <w:i w:val="0"/>
          <w:sz w:val="24"/>
        </w:rPr>
        <w:t>A segunda via envolve o sono e a recuperação. No rúgbi profissional, as viagens internacionais reduziram o sono e o bem-estar, e o efeito dos jogos variou entre as equipes (LO et al., 2022). Na seleção feminina de basquetebol, a duração do sono variou muito entre as atletas, e os autores indicaram sua otimização para atenuar perturbações do humor (BIRD et al., 2025). Dado o efeito das intervenções de sono sobre o humor (GWYTHER et al., 2022; WALSH et al., 2026) e as semanas com dois ou mais jogos, o sono é candidato natural a mediador. A terceira via é a da carga acumulada, cuja variação interindividual aumenta nas semanas congestionadas (BÜCHEL; DÖRING; BAUMEISTER, 2026), o que pode explicar por que as médias da equipe ocultam respostas individuais.</w:t>
      </w:r>
    </w:p>
    <w:p>
      <w:pPr>
        <w:spacing w:before="0" w:after="0" w:line="360" w:lineRule="auto"/>
        <w:ind w:left="0" w:firstLine="709"/>
        <w:jc w:val="both"/>
      </w:pPr>
      <w:r>
        <w:rPr>
          <w:rFonts w:ascii="Times New Roman" w:hAnsi="Times New Roman"/>
          <w:i w:val="0"/>
          <w:sz w:val="24"/>
        </w:rPr>
        <w:t>A quarta via é social e cognitiva. O contágio emocional pode explicar a sensibilidade do humor ao resultado (LAGNER et al., 2015) e ao convívio da equipe (BATALLA-GAVALDA et al., 2021; IVANOVIĆ; IVANOVIĆ, 2023), pois as emoções da equipe após o jogo associaram-se às emoções individuais no futebol (RUMBOLD et al., 2022), e estados induzidos por colegas modificaram o esforço, a coesão e o desempenho (ELDADI; SHARON-DAVID; TENENBAUM, 2023). Segundo o modelo de Lazarus, a emoção decorre da avaliação da relação entre as exigências da situação e os recursos do atleta (LAZARUS, 2000), o que integra a avaliação de ameaça discutida acima. As quatro vias não são excludentes, e nenhum estudo incluído testou essas mediações, o que define uma prioridade de pesquisa.</w:t>
      </w:r>
    </w:p>
    <w:p>
      <w:pPr>
        <w:spacing w:before="0" w:after="0" w:line="360" w:lineRule="auto"/>
        <w:ind w:left="0" w:firstLine="709"/>
        <w:jc w:val="both"/>
      </w:pPr>
      <w:r>
        <w:rPr>
          <w:rFonts w:ascii="Times New Roman" w:hAnsi="Times New Roman"/>
          <w:i w:val="0"/>
          <w:sz w:val="24"/>
        </w:rPr>
        <w:t>A comparação mostra convergências e uma diferença de método. No basquetebol, a Brunel Mood Scale explicou 49,0% da variância do bem-estar e 46,8% da prontidão, e suas subescalas, 26,0% da variância da eficiência das jogadoras (BIRD et al., 2025). No hóquei no gelo, o apoio social e o comportamento orientado à tarefa influenciaram o bem-estar e a saúde mental de atletas de elite (VEILLETTE et al., 2025), em consonância com o papel do clima de tarefa no handebol (GREBLO JURAKIĆ; BOJIĆ-ĆAĆIĆ; LJUBIČIĆ, 2026). A diferença está no instrumento. No voleibol e no futebol predominam questionários compostos de bem-estar, como o índice de Hooper, que reúnem fadiga, sono, dor muscular e estresse e, por vezes, um item de humor (REBELO et al., 2024; SAIDI et al., 2022), ao passo que, no handebol, predominou o perfil multidimensional do POMS. Essa diferença favorece a leitura das dimensões, mas dificulta a comparação com modalidades cujos achados se apoiam em itens únicos sem validação demonstrada (JEFFRIES et al., 2020). As exigências do handebol, com contato frequente e intermitência (MICHALSIK; AAGAARD; MADSEN, 2012; PÓVOAS et al., 2012), aproximam-se das do rúgbi e do basquetebol, cuja literatura serve, porém, como fonte de hipóteses, e não como substituto da evidência específica.</w:t>
      </w:r>
    </w:p>
    <w:p>
      <w:pPr>
        <w:keepNext/>
        <w:spacing w:before="240" w:after="120" w:line="360" w:lineRule="auto"/>
        <w:ind w:left="0" w:firstLine="0"/>
        <w:jc w:val="left"/>
      </w:pPr>
      <w:r>
        <w:rPr>
          <w:rFonts w:ascii="Times New Roman" w:hAnsi="Times New Roman"/>
          <w:b/>
          <w:sz w:val="24"/>
        </w:rPr>
        <w:t>4.4 Intervenções sobre o humor (QP4)</w:t>
      </w:r>
    </w:p>
    <w:p>
      <w:pPr>
        <w:spacing w:before="0" w:after="0" w:line="360" w:lineRule="auto"/>
        <w:ind w:left="0" w:firstLine="709"/>
        <w:jc w:val="both"/>
      </w:pPr>
      <w:r>
        <w:rPr>
          <w:rFonts w:ascii="Times New Roman" w:hAnsi="Times New Roman"/>
          <w:i w:val="0"/>
          <w:sz w:val="24"/>
        </w:rPr>
        <w:t>O encorajamento verbal, individual ou combinado com instrução técnica, melhorou o humor e a valência afetiva durante a prática (AYDI et al., 2025; SAHLI et al., 2022, 2024), e o feedback negativo reduziu o afeto positivo (SOTO; GARCÍA-HERRERO; CARCEDO, 2020). No futebol, o encorajamento verbal elevou a carga interna e o desempenho técnico na maioria dos estudos, sobretudo em jovens e amadores (SELMI et al., 2026), e, no basquetebol juvenil, aumentou o prazer e também a fadiga (YILMAZ et al., 2025). A ausência de efeito do feedback comparativo na primeira divisão (GARCÍA-HERRERO et al., 2022) sugere que o nível competitivo e a relação com o treinador moderam essa influência, hipótese compatível com a relação atenuada entre clima motivacional e afeto em atletas de elite (LOCHBAUM; SISNEROS, 2024). A falta de poder é explicação alternativa, pois os subgrupos com baixa satisfação reuniram de seis a onze jogadoras.</w:t>
      </w:r>
    </w:p>
    <w:p>
      <w:pPr>
        <w:spacing w:before="0" w:after="0" w:line="360" w:lineRule="auto"/>
        <w:ind w:left="0" w:firstLine="709"/>
        <w:jc w:val="both"/>
      </w:pPr>
      <w:r>
        <w:rPr>
          <w:rFonts w:ascii="Times New Roman" w:hAnsi="Times New Roman"/>
          <w:i w:val="0"/>
          <w:sz w:val="24"/>
        </w:rPr>
        <w:t>A leitura integral impõe ressalvas. No estudo com escolares com sobrepeso, os grupos diferiram também no momento do encorajamento, os graus de liberdade são incompatíveis com a análise por sexo, e a aprovação ética é posterior à coleta (SAHLI et al., 2024). Com escolares obesos, os tamanhos de efeito do humor repetem os da frequência cardíaca, embora os valores de p tenham sido reproduzidos com os dados suplementares (AYDI et al., 2025). No jogo reduzido, as estatísticas da Feeling Scale foram relatadas em bloco com as da percepção de esforço (SAHLI et al., 2022), e o ensaio com feedback negativo, o mais rigoroso, tem resumo que inverte o resultado principal (SOTO; GARCÍA-HERRERO; CARCEDO, 2020). A direção do efeito verbal é plausível, e sua magnitude, incerta.</w:t>
      </w:r>
    </w:p>
    <w:p>
      <w:pPr>
        <w:spacing w:before="0" w:after="0" w:line="360" w:lineRule="auto"/>
        <w:ind w:left="0" w:firstLine="709"/>
        <w:jc w:val="both"/>
      </w:pPr>
      <w:r>
        <w:rPr>
          <w:rFonts w:ascii="Times New Roman" w:hAnsi="Times New Roman"/>
          <w:i w:val="0"/>
          <w:sz w:val="24"/>
        </w:rPr>
        <w:t>As intervenções nutricionais não sustentam efeito sobre o humor. Com néctar de jamelão, a perturbação total caiu apenas no grupo suplementado, sem diferença entre os grupos, e esse grupo partiu de valores piores, o que favorece a regressão à média (ASSUNÇÃO CARVALHO et al., 2018). Nos planos alimentares, a tabela não mostra efeito do tempo nem interação, embora o resumo e as conclusões afirmem mudanças significativas (MIRALLES-AMORÓS et al., 2023). O efeito da cafeína sobre o humor foi maior em boxeadores de elite que em atletas recreacionais (JODRA et al., 2020), o que sugere modulação pelo nível do atleta.</w:t>
      </w:r>
    </w:p>
    <w:p>
      <w:pPr>
        <w:spacing w:before="0" w:after="0" w:line="360" w:lineRule="auto"/>
        <w:ind w:left="0" w:firstLine="709"/>
        <w:jc w:val="both"/>
      </w:pPr>
      <w:r>
        <w:rPr>
          <w:rFonts w:ascii="Times New Roman" w:hAnsi="Times New Roman"/>
          <w:i w:val="0"/>
          <w:sz w:val="24"/>
        </w:rPr>
        <w:t>As intervenções psicológicas e musicais foram descritas de modo insuficiente. O programa de autorregulação selecionou os seis jogadores com pior humor, sem grupo controle, o que favorece a regressão à média, e a melhora mantida na fase sem tratamento não distingue o efeito do programa do efeito do tempo (AL-WATTAR; AL-BADRANE, 2014). No aquecimento com música, a figura mostra humor praticamente inalterado nos dois grupos, em contradição com a diferença significativa informada (KHAZDOZI; BAHARI; ASHAYERI, 2017), e o programa de regulação psicoemocional só foi acessível pelo resumo, sem estatísticas (DIACHENKO; TYSHCHENKO, 2025). Na literatura geral, a música aumenta a valência afetiva no exercício agudo (HE et al., 2025). Nenhuma intervenção testou estratégias de recuperação ou de sono, embora as intervenções de sono modifiquem o humor de atletas (GWYTHER et al., 2022), sobretudo o afeto positivo, a ansiedade, a tensão e o vigor (WALSH et al., 2026).</w:t>
      </w:r>
    </w:p>
    <w:p>
      <w:pPr>
        <w:spacing w:before="0" w:after="0" w:line="360" w:lineRule="auto"/>
        <w:ind w:left="0" w:firstLine="709"/>
        <w:jc w:val="both"/>
      </w:pPr>
      <w:r>
        <w:rPr>
          <w:rFonts w:ascii="Times New Roman" w:hAnsi="Times New Roman"/>
          <w:i w:val="0"/>
          <w:sz w:val="24"/>
        </w:rPr>
        <w:t>As intervenções psicológicas estruturadas, ainda raras no handebol (AL-WATTAR; AL-BADRANE, 2014), têm evidência mais ampla em outras modalidades. No futebol, um programa de 13 semanas melhorou o controle do estresse, a ansiedade cognitiva e a autoconfiança (DOMÍNGUEZ GONZÁLEZ et al., 2024), e o treino com restrições estressantes favoreceu a resiliência da equipe, com tendência de aumento da ansiedade (TASSI et al., 2023). O mindfulness não teve efeito significativo sobre a saúde mental em ensaios randomizados (WANG; LEI; FAN, 2023), mas reduziu a ansiedade, a depressão e a fadiga psicológica em atletas de alto nível (ZHANG et al., 2025) e melhorou a regulação emocional (g = 0,81, com sete estudos) (LI; LU; FANG, 2026). No handebol de elite, reduziu a frustração percebida (STAIANO et al., 2026), o que torna promissora a inclusão do humor como desfecho nesses ensaios.</w:t>
      </w:r>
    </w:p>
    <w:p>
      <w:pPr>
        <w:keepNext/>
        <w:spacing w:before="240" w:after="120" w:line="360" w:lineRule="auto"/>
        <w:ind w:left="0" w:firstLine="0"/>
        <w:jc w:val="left"/>
      </w:pPr>
      <w:r>
        <w:rPr>
          <w:rFonts w:ascii="Times New Roman" w:hAnsi="Times New Roman"/>
          <w:b/>
          <w:sz w:val="24"/>
        </w:rPr>
        <w:t>4.5 Qualidade metodológica e certeza da evidência (QP5)</w:t>
      </w:r>
    </w:p>
    <w:p>
      <w:pPr>
        <w:spacing w:before="0" w:after="0" w:line="360" w:lineRule="auto"/>
        <w:ind w:left="0" w:firstLine="709"/>
        <w:jc w:val="both"/>
      </w:pPr>
      <w:r>
        <w:rPr>
          <w:rFonts w:ascii="Times New Roman" w:hAnsi="Times New Roman"/>
          <w:i w:val="0"/>
          <w:sz w:val="24"/>
        </w:rPr>
        <w:t>Catorze estudos alcançaram qualidade alta, catorze, moderada, e seis, baixa, com falhas recorrentes na descrição da amostra, no momento da medida, no controle de confusão e, sobretudo, na análise estatística. A leitura integral revelou problemas de integridade que a pontuação não capta. O resumo, o texto ou as conclusões contradizem os resultados em vários estudos (IVANOVIĆ; IVANOVIĆ, 2023; KHAZDOZI; BAHARI; ASHAYERI, 2017; MIRALLES-AMORÓS et al., 2023; MON-LÓPEZ et al., 2020; OBREGÓN SIBÓN et al., 2017; ROCHA; LOPES; MORAES, 2010; SOTO; GARCÍA-HERRERO; CARCEDO, 2020). Há valor de t que deixa de ser significativo quando recalculado a partir das médias e dos desvios-padrão (DURAI; ATHISAYARAJ, 2018), graus de liberdade incompatíveis com a amostra (LAGNER et al., 2015; SAHLI et al., 2024), tamanhos de efeito incoerentes com os valores de F (RATZ-SULYOK et al., 2026), relato seletivo de dimensões (ASSUNÇÃO CARVALHO et al., 2018; REIGAL et al., 2020), circularidade entre preditor e desfecho (ZURITA ORTEGA et al., 2014) e aprovação ética posterior à coleta (SAHLI et al., 2024). A qualidade alta indica, portanto, relato e delineamento mais completos, e não ausência de viés. As fragilidades de cada estudo constam do Apêndice D.</w:t>
      </w:r>
    </w:p>
    <w:p>
      <w:pPr>
        <w:spacing w:before="0" w:after="0" w:line="360" w:lineRule="auto"/>
        <w:ind w:left="0" w:firstLine="709"/>
        <w:jc w:val="both"/>
      </w:pPr>
      <w:r>
        <w:rPr>
          <w:rFonts w:ascii="Times New Roman" w:hAnsi="Times New Roman"/>
          <w:i w:val="0"/>
          <w:sz w:val="24"/>
        </w:rPr>
        <w:t>A certeza de cada achado foi julgada, sem níveis formais, pelos domínios da abordagem GRADE (GUYATT et al., 2008): consistência, precisão, validade interna e direcionalidade, isto é, a correspondência entre os estudos e a pergunta da revisão. Achados apoiados em estudos observacionais partiram de certeza baixa, e os apoiados em ensaios, de certeza mais alta, rebaixada conforme as fragilidades identificadas na leitura.</w:t>
      </w:r>
    </w:p>
    <w:p>
      <w:pPr>
        <w:spacing w:before="0" w:after="0" w:line="360" w:lineRule="auto"/>
        <w:ind w:left="0" w:firstLine="709"/>
        <w:jc w:val="both"/>
      </w:pPr>
      <w:r>
        <w:rPr>
          <w:rFonts w:ascii="Times New Roman" w:hAnsi="Times New Roman"/>
          <w:i/>
          <w:sz w:val="24"/>
        </w:rPr>
        <w:t>Comunicação verbal.</w:t>
      </w:r>
      <w:r>
        <w:rPr>
          <w:rFonts w:ascii="Times New Roman" w:hAnsi="Times New Roman"/>
          <w:i w:val="0"/>
          <w:sz w:val="24"/>
        </w:rPr>
        <w:t xml:space="preserve"> O encorajamento verbal elevou o vigor ou preservou a valência afetiva em três estudos com escolares (AYDI et al., 2025; SAHLI et al., 2022, 2024), e o feedback negativo reduziu o afeto positivo de jogadoras de seleções (SOTO; GARCÍA-HERRERO; CARCEDO, 2020), mas o feedback comparativo não alterou o afeto na primeira divisão (GARCÍA-HERRERO et al., 2022). A direção é consistente, mas as amostras são pequenas, sem intervalos de confiança, os ensaios não foram cegados, e um deles tem falhas de integridade (seção 4.4). Como três dos cinco estudos avaliaram escolares em jogos adaptados, a evidência é indireta para atletas. A certeza é baixa em contexto escolar e muito baixa para atletas federados.</w:t>
      </w:r>
    </w:p>
    <w:p>
      <w:pPr>
        <w:spacing w:before="0" w:after="0" w:line="360" w:lineRule="auto"/>
        <w:ind w:left="0" w:firstLine="709"/>
        <w:jc w:val="both"/>
      </w:pPr>
      <w:r>
        <w:rPr>
          <w:rFonts w:ascii="Times New Roman" w:hAnsi="Times New Roman"/>
          <w:i/>
          <w:sz w:val="24"/>
        </w:rPr>
        <w:t>Resultado do jogo.</w:t>
      </w:r>
      <w:r>
        <w:rPr>
          <w:rFonts w:ascii="Times New Roman" w:hAnsi="Times New Roman"/>
          <w:i w:val="0"/>
          <w:sz w:val="24"/>
        </w:rPr>
        <w:t xml:space="preserve"> A vitória associou-se a humor mais positivo em 61 jogadores amadores (LAGNER et al., 2015), com apoio apenas descritivo ou fragmentário de outros dois estudos (FARZANEGI et al., [2008?]; SCHIAVINI; ARENA, 2010). Graus de liberdade incompatíveis com a amostra e a exclusão das equipes derrotadas ou empatadas comprometem a precisão e a validade interna. A certeza é muito baixa.</w:t>
      </w:r>
    </w:p>
    <w:p>
      <w:pPr>
        <w:spacing w:before="0" w:after="0" w:line="360" w:lineRule="auto"/>
        <w:ind w:left="0" w:firstLine="709"/>
        <w:jc w:val="both"/>
      </w:pPr>
      <w:r>
        <w:rPr>
          <w:rFonts w:ascii="Times New Roman" w:hAnsi="Times New Roman"/>
          <w:i/>
          <w:sz w:val="24"/>
        </w:rPr>
        <w:t>Carga e temporada.</w:t>
      </w:r>
      <w:r>
        <w:rPr>
          <w:rFonts w:ascii="Times New Roman" w:hAnsi="Times New Roman"/>
          <w:i w:val="0"/>
          <w:sz w:val="24"/>
        </w:rPr>
        <w:t xml:space="preserve"> A fadiga aumentou em 18 dias de treinamento intenso, com d calculado pelos revisores de 0,81 e 0,89 (PADILHAS et al., 2018), e a raiva e o vigor variaram em uma temporada de 40 semanas, sem mudança da perturbação total (BRESCIANI et al., 2010). A consistência é parcial, pois a fadiga e a tensão foram maiores no início da temporada em dois estudos (BRESCIANI et al., 2010; MONTES; GOMES, 2014). Grupos únicos de 14 a 17 atletas, sem controle, reduzem a precisão e a validade interna, embora a evidência seja direta. A certeza é baixa.</w:t>
      </w:r>
    </w:p>
    <w:p>
      <w:pPr>
        <w:spacing w:before="0" w:after="0" w:line="360" w:lineRule="auto"/>
        <w:ind w:left="0" w:firstLine="709"/>
        <w:jc w:val="both"/>
      </w:pPr>
      <w:r>
        <w:rPr>
          <w:rFonts w:ascii="Times New Roman" w:hAnsi="Times New Roman"/>
          <w:i/>
          <w:sz w:val="24"/>
        </w:rPr>
        <w:t>Recursos psicológicos e convívio social.</w:t>
      </w:r>
      <w:r>
        <w:rPr>
          <w:rFonts w:ascii="Times New Roman" w:hAnsi="Times New Roman"/>
          <w:i w:val="0"/>
          <w:sz w:val="24"/>
        </w:rPr>
        <w:t xml:space="preserve"> As habilidades psicológicas e a autoconfiança correlacionaram-se negativamente com as dimensões negativas do humor (r de −0,22 a −0,39) em 181 atletas (REIGAL et al., 2020), a prática regular associou-se a mais afeto positivo e a menos afeto negativo (d = 0,42 e 0,48) (LUJIC; PRSKALO; BRATKO, 2023), e a solidão predisse o afeto de juniores (IVANOVIĆ; IVANOVIĆ, 2023). As amostras são as maiores da revisão e a direção é consistente, mas os estudos são transversais, sem ajuste para confundidores e com falhas de relato (início desta seção). A certeza é baixa para a associação e muito baixa para sua direção causal.</w:t>
      </w:r>
    </w:p>
    <w:p>
      <w:pPr>
        <w:spacing w:before="0" w:after="0" w:line="360" w:lineRule="auto"/>
        <w:ind w:left="0" w:firstLine="709"/>
        <w:jc w:val="both"/>
      </w:pPr>
      <w:r>
        <w:rPr>
          <w:rFonts w:ascii="Times New Roman" w:hAnsi="Times New Roman"/>
          <w:i/>
          <w:sz w:val="24"/>
        </w:rPr>
        <w:t>Ciclo menstrual e horário do dia.</w:t>
      </w:r>
      <w:r>
        <w:rPr>
          <w:rFonts w:ascii="Times New Roman" w:hAnsi="Times New Roman"/>
          <w:i w:val="0"/>
          <w:sz w:val="24"/>
        </w:rPr>
        <w:t xml:space="preserve"> Os dois estudos favoráveis a variações com a fase do ciclo não testaram as fases entre si ou foram lidos só no resumo (GHAZEL et al., 2022; LISENCHUK et al., 2019), e o único com fases confirmadas por teste urinário de hormônio luteinizante não encontrou diferença, com oito jogadoras (MORENAS-AGUILAR et al., 2023). O efeito do horário depende de um único resumo, sem estatísticas (ESSID et al., 2022). A certeza é muito baixa.</w:t>
      </w:r>
    </w:p>
    <w:p>
      <w:pPr>
        <w:spacing w:before="0" w:after="0" w:line="360" w:lineRule="auto"/>
        <w:ind w:left="0" w:firstLine="709"/>
        <w:jc w:val="both"/>
      </w:pPr>
      <w:r>
        <w:rPr>
          <w:rFonts w:ascii="Times New Roman" w:hAnsi="Times New Roman"/>
          <w:i/>
          <w:sz w:val="24"/>
        </w:rPr>
        <w:t>Outras intervenções e marcadores biológicos.</w:t>
      </w:r>
      <w:r>
        <w:rPr>
          <w:rFonts w:ascii="Times New Roman" w:hAnsi="Times New Roman"/>
          <w:i w:val="0"/>
          <w:sz w:val="24"/>
        </w:rPr>
        <w:t xml:space="preserve"> Os ensaios nutricionais não mostraram diferença entre grupos (ASSUNÇÃO CARVALHO et al., 2018; MIRALLES-AMORÓS et al., 2023), e as intervenções psicológicas e musicais carecem de controle adequado e de descrição suficiente (AL-WATTAR; AL-BADRANE, 2014; DIACHENKO; TYSHCHENKO, 2025; KHAZDOZI; BAHARI; ASHAYERI, 2017). A certeza é muito baixa em qualquer direção. Na maior amostra, a perturbação total não se associou aos hormônios salivares (RATZ-SULYOK et al., 2026), com certeza baixa, pois só 276 dos 584 atletas tinham dados do POMS e vários tamanhos de efeito são incoerentes com as estatísticas.</w:t>
      </w:r>
    </w:p>
    <w:p>
      <w:pPr>
        <w:keepNext/>
        <w:spacing w:before="240" w:after="120" w:line="360" w:lineRule="auto"/>
        <w:ind w:left="0" w:firstLine="0"/>
        <w:jc w:val="left"/>
      </w:pPr>
      <w:r>
        <w:rPr>
          <w:rFonts w:ascii="Times New Roman" w:hAnsi="Times New Roman"/>
          <w:b/>
          <w:sz w:val="24"/>
        </w:rPr>
        <w:t>4.6 Limitações e agenda de pesquisa</w:t>
      </w:r>
    </w:p>
    <w:p>
      <w:pPr>
        <w:spacing w:before="0" w:after="0" w:line="360" w:lineRule="auto"/>
        <w:ind w:left="0" w:firstLine="709"/>
        <w:jc w:val="both"/>
      </w:pPr>
      <w:r>
        <w:rPr>
          <w:rFonts w:ascii="Times New Roman" w:hAnsi="Times New Roman"/>
          <w:i w:val="0"/>
          <w:sz w:val="24"/>
        </w:rPr>
        <w:t>A revisão tem limitações. A triagem e a extração foram assistidas por modelo de linguagem, sem conferência humana concluída. Nas duas etapas, 59 relatórios não foram recuperados, e nove foram extraídos apenas do resumo. A atualização restringiu-se a cinco fontes de acesso programático, sem a Scopus, a Web of Science e a LILACS. O critério de tipo de documento, restrito a artigos completos publicados em periódicos, foi explicitado apenas na revisão final e levou à exclusão de três relatórios antes incluídos, um preprint, um trabalho completo em anais e um resumo de congresso, o que pode ter omitido evidência recente ainda não publicada em periódico. O protocolo não foi registrado prospectivamente, a avaliação com seis itens não substitui instrumentos formais de risco de viés, o julgamento da certeza não seguiu perfil de evidência formal, e os tamanhos de efeito calculados pelos revisores dependem da exatidão dos dados publicados. A heterogeneidade impediu a metanálise (HOPKINS et al., 2009), e a síntese seguiu a diretriz SWiM (CAMPBELL et al., 2020). Entre os pontos fortes, estão a busca em oito bases sem restrição de data, a releitura integral dos relatórios, que corrigiu onze decisões anteriores e revisou dados e pontuações de qualidade, e a rastreabilidade de cada resultado até o trecho literal da fonte.</w:t>
      </w:r>
    </w:p>
    <w:p>
      <w:pPr>
        <w:keepNext/>
        <w:spacing w:before="120" w:after="60" w:line="240" w:lineRule="auto"/>
        <w:ind w:left="0" w:firstLine="0"/>
        <w:jc w:val="both"/>
      </w:pPr>
      <w:r>
        <w:rPr>
          <w:rFonts w:ascii="Times New Roman" w:hAnsi="Times New Roman"/>
          <w:b/>
          <w:sz w:val="20"/>
        </w:rPr>
        <w:t>Tabela 3</w:t>
      </w:r>
      <w:r>
        <w:rPr>
          <w:rFonts w:ascii="Times New Roman" w:hAnsi="Times New Roman"/>
          <w:i w:val="0"/>
          <w:sz w:val="20"/>
        </w:rPr>
        <w:t xml:space="preserve"> – Agenda de pesquisa sobre o humor no handebol</w:t>
      </w:r>
    </w:p>
    <w:tbl>
      <w:tblPr>
        <w:jc w:val="center"/>
        <w:tblLayout w:type="fixed"/>
        <w:tblLook w:firstColumn="1" w:firstRow="1" w:lastColumn="0" w:lastRow="0" w:noHBand="0" w:noVBand="1" w:val="04A0"/>
        <w:tblW w:w="9072" w:type="dxa"/>
        <w:tblLayout w:type="fixed"/>
      </w:tblPr>
      <w:tblGrid>
        <w:gridCol w:w="1927"/>
        <w:gridCol w:w="3175"/>
        <w:gridCol w:w="3969"/>
      </w:tblGrid>
      <w:tr>
        <w:trPr>
          <w:tblHeader w:val="true"/>
        </w:trPr>
        <w:tc>
          <w:tcPr>
            <w:tcW w:w="1927" w:type="dxa"/>
            <w:tcBorders>
              <w:top w:val="single" w:sz="8" w:color="000000"/>
              <w:left w:val="nil"/>
              <w:bottom w:val="single" w:sz="6" w:color="000000"/>
              <w:right w:val="nil"/>
            </w:tcBorders>
          </w:tcPr>
          <w:p>
            <w:pPr>
              <w:spacing w:lineRule="exact" w:line="220"/>
              <w:jc w:val="center"/>
            </w:pPr>
            <w:r>
              <w:rPr>
                <w:rFonts w:ascii="Times New Roman" w:hAnsi="Times New Roman"/>
                <w:b/>
                <w:sz w:val="19"/>
              </w:rPr>
              <w:t>Lacuna identificada</w:t>
            </w:r>
          </w:p>
        </w:tc>
        <w:tc>
          <w:tcPr>
            <w:tcW w:w="3175" w:type="dxa"/>
            <w:tcBorders>
              <w:top w:val="single" w:sz="8" w:color="000000"/>
              <w:left w:val="nil"/>
              <w:bottom w:val="single" w:sz="6" w:color="000000"/>
              <w:right w:val="nil"/>
            </w:tcBorders>
          </w:tcPr>
          <w:p>
            <w:pPr>
              <w:spacing w:lineRule="exact" w:line="220"/>
              <w:jc w:val="center"/>
            </w:pPr>
            <w:r>
              <w:rPr>
                <w:rFonts w:ascii="Times New Roman" w:hAnsi="Times New Roman"/>
                <w:b/>
                <w:sz w:val="19"/>
              </w:rPr>
              <w:t>Situação atual</w:t>
            </w:r>
          </w:p>
        </w:tc>
        <w:tc>
          <w:tcPr>
            <w:tcW w:w="3969" w:type="dxa"/>
            <w:tcBorders>
              <w:top w:val="single" w:sz="8" w:color="000000"/>
              <w:left w:val="nil"/>
              <w:bottom w:val="single" w:sz="6" w:color="000000"/>
              <w:right w:val="nil"/>
            </w:tcBorders>
          </w:tcPr>
          <w:p>
            <w:pPr>
              <w:spacing w:lineRule="exact" w:line="220"/>
              <w:jc w:val="center"/>
            </w:pPr>
            <w:r>
              <w:rPr>
                <w:rFonts w:ascii="Times New Roman" w:hAnsi="Times New Roman"/>
                <w:b/>
                <w:sz w:val="19"/>
              </w:rPr>
              <w:t>Recomendação</w:t>
            </w:r>
          </w:p>
        </w:tc>
      </w:tr>
      <w:tr>
        <w:tc>
          <w:tcPr>
            <w:tcW w:w="1927" w:type="dxa"/>
            <w:tcBorders>
              <w:top w:val="nil"/>
              <w:left w:val="nil"/>
              <w:bottom w:val="nil"/>
              <w:right w:val="nil"/>
            </w:tcBorders>
          </w:tcPr>
          <w:p>
            <w:pPr>
              <w:spacing w:lineRule="exact" w:line="220" w:before="20" w:after="20"/>
              <w:jc w:val="left"/>
            </w:pPr>
            <w:r>
              <w:rPr>
                <w:rFonts w:ascii="Times New Roman" w:hAnsi="Times New Roman"/>
                <w:i w:val="0"/>
                <w:sz w:val="19"/>
              </w:rPr>
              <w:t>Momento da medida</w:t>
            </w:r>
          </w:p>
        </w:tc>
        <w:tc>
          <w:tcPr>
            <w:tcW w:w="3175" w:type="dxa"/>
            <w:tcBorders>
              <w:top w:val="nil"/>
              <w:left w:val="nil"/>
              <w:bottom w:val="nil"/>
              <w:right w:val="nil"/>
            </w:tcBorders>
          </w:tcPr>
          <w:p>
            <w:pPr>
              <w:spacing w:lineRule="exact" w:line="220" w:before="20" w:after="20"/>
              <w:jc w:val="left"/>
            </w:pPr>
            <w:r>
              <w:rPr>
                <w:rFonts w:ascii="Times New Roman" w:hAnsi="Times New Roman"/>
                <w:i w:val="0"/>
                <w:sz w:val="19"/>
              </w:rPr>
              <w:t>Declarado com precisão em parte dos estudos; medidas prévias lidas como resposta</w:t>
            </w:r>
          </w:p>
        </w:tc>
        <w:tc>
          <w:tcPr>
            <w:tcW w:w="3969" w:type="dxa"/>
            <w:tcBorders>
              <w:top w:val="nil"/>
              <w:left w:val="nil"/>
              <w:bottom w:val="nil"/>
              <w:right w:val="nil"/>
            </w:tcBorders>
          </w:tcPr>
          <w:p>
            <w:pPr>
              <w:spacing w:lineRule="exact" w:line="220" w:before="20" w:after="20"/>
              <w:jc w:val="left"/>
            </w:pPr>
            <w:r>
              <w:rPr>
                <w:rFonts w:ascii="Times New Roman" w:hAnsi="Times New Roman"/>
                <w:i w:val="0"/>
                <w:sz w:val="19"/>
              </w:rPr>
              <w:t>Medidas antes e após jogos e sessões, com registro do horário e do contexto</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Instrumento</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POMS em versões de 30 a 65 itens; BRUMS pouco usada</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BRUMS ou POMS abreviado validado no idioma, com todas as dimensões (VLACHOPOULOS; LANE; TERRY, 2023)</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Delineamento</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Predomínio de estudos transversais; poucos ensaios</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Ensaios por equipes e medidas repetidas com modelos multivariados (AFONSO et al., 2025)</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Integridade do relato</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Contradições entre resumo e resultados; estatísticas incompletas</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Médias, desvios-padrão, estatísticas e tamanhos de efeito completos, com protocolo registrado</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Sexo e ciclo menstrual</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Amostras mistas sem análise por sexo</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Análise por sexo e registro preciso da fase do ciclo (MEIGNIÉ et al., 2021)</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Intervenções</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Comunicação verbal e feedback testados em sessões isoladas</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Programas de comunicação do treinador, clima de tarefa, sono e recuperação na temporada</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Nutrição e energia</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Efeitos inconsistentes em amostras pequenas</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Considerar a relação entre saúde mental e deficiência energética relativa (MOUNTJOY et al., 2023)</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Mecanismos</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Cortisol, sono e humor raramente medidos em conjunto</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Medidas combinadas de marcadores endócrinos, sono e humor em semanas congestionadas (LO et al., 2022; PANCAR et al., 2026)</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Dinâmica da equipe</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Humor analisado no nível individual</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Modelos multinível com emoções coletivas e contágio emocional (RUMBOLD et al., 2022)</w:t>
            </w:r>
          </w:p>
        </w:tc>
      </w:tr>
      <w:tr>
        <w:tc>
          <w:tcPr>
            <w:tcW w:w="1927"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Treino psicológico</w:t>
            </w:r>
          </w:p>
        </w:tc>
        <w:tc>
          <w:tcPr>
            <w:tcW w:w="3175"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Habilidades psicológicas e mindfulness pouco testados</w:t>
            </w:r>
          </w:p>
        </w:tc>
        <w:tc>
          <w:tcPr>
            <w:tcW w:w="3969" w:type="dxa"/>
            <w:tcBorders>
              <w:top w:val="single" w:sz="4" w:color="000000"/>
              <w:left w:val="nil"/>
              <w:bottom w:val="nil"/>
              <w:right w:val="nil"/>
            </w:tcBorders>
          </w:tcPr>
          <w:p>
            <w:pPr>
              <w:spacing w:lineRule="exact" w:line="220" w:before="20" w:after="20"/>
              <w:jc w:val="left"/>
            </w:pPr>
            <w:r>
              <w:rPr>
                <w:rFonts w:ascii="Times New Roman" w:hAnsi="Times New Roman"/>
                <w:i w:val="0"/>
                <w:sz w:val="19"/>
              </w:rPr>
              <w:t>Ensaios com treino de habilidades psicológicas ou mindfulness e o humor como desfecho (DOMÍNGUEZ GONZÁLEZ et al., 2024; ZHANG et al., 2025)</w:t>
            </w:r>
          </w:p>
        </w:tc>
      </w:tr>
      <w:tr>
        <w:tc>
          <w:tcPr>
            <w:tcW w:w="1927" w:type="dxa"/>
            <w:tcBorders>
              <w:top w:val="single" w:sz="4" w:color="000000"/>
              <w:left w:val="nil"/>
              <w:bottom w:val="single" w:sz="8" w:color="000000"/>
              <w:right w:val="nil"/>
            </w:tcBorders>
          </w:tcPr>
          <w:p>
            <w:pPr>
              <w:spacing w:lineRule="exact" w:line="220" w:before="20" w:after="20"/>
              <w:jc w:val="left"/>
            </w:pPr>
            <w:r>
              <w:rPr>
                <w:rFonts w:ascii="Times New Roman" w:hAnsi="Times New Roman"/>
                <w:i w:val="0"/>
                <w:sz w:val="19"/>
              </w:rPr>
              <w:t>Desempenho em jogo</w:t>
            </w:r>
          </w:p>
        </w:tc>
        <w:tc>
          <w:tcPr>
            <w:tcW w:w="3175" w:type="dxa"/>
            <w:tcBorders>
              <w:top w:val="single" w:sz="4" w:color="000000"/>
              <w:left w:val="nil"/>
              <w:bottom w:val="single" w:sz="8" w:color="000000"/>
              <w:right w:val="nil"/>
            </w:tcBorders>
          </w:tcPr>
          <w:p>
            <w:pPr>
              <w:spacing w:lineRule="exact" w:line="220" w:before="20" w:after="20"/>
              <w:jc w:val="left"/>
            </w:pPr>
            <w:r>
              <w:rPr>
                <w:rFonts w:ascii="Times New Roman" w:hAnsi="Times New Roman"/>
                <w:i w:val="0"/>
                <w:sz w:val="19"/>
              </w:rPr>
              <w:t>Poucos estudos relacionaram humor e rendimento</w:t>
            </w:r>
          </w:p>
        </w:tc>
        <w:tc>
          <w:tcPr>
            <w:tcW w:w="3969" w:type="dxa"/>
            <w:tcBorders>
              <w:top w:val="single" w:sz="4" w:color="000000"/>
              <w:left w:val="nil"/>
              <w:bottom w:val="single" w:sz="8" w:color="000000"/>
              <w:right w:val="nil"/>
            </w:tcBorders>
          </w:tcPr>
          <w:p>
            <w:pPr>
              <w:spacing w:lineRule="exact" w:line="220" w:before="20" w:after="20"/>
              <w:jc w:val="left"/>
            </w:pPr>
            <w:r>
              <w:rPr>
                <w:rFonts w:ascii="Times New Roman" w:hAnsi="Times New Roman"/>
                <w:i w:val="0"/>
                <w:sz w:val="19"/>
              </w:rPr>
              <w:t>Humor medido por instrumento validado e indicadores de jogo sob pressão</w:t>
            </w:r>
          </w:p>
        </w:tc>
      </w:tr>
    </w:tbl>
    <w:p>
      <w:pPr>
        <w:spacing w:before="40" w:after="160" w:line="240" w:lineRule="auto"/>
        <w:ind w:left="0" w:firstLine="0"/>
        <w:jc w:val="left"/>
      </w:pPr>
      <w:r>
        <w:rPr>
          <w:rFonts w:ascii="Times New Roman" w:hAnsi="Times New Roman"/>
          <w:i w:val="0"/>
          <w:sz w:val="20"/>
        </w:rPr>
        <w:t>Fonte: elaborada pelos autores (2026).</w:t>
      </w:r>
    </w:p>
    <w:p>
      <w:pPr>
        <w:spacing w:before="0" w:after="0" w:line="360" w:lineRule="auto"/>
        <w:ind w:left="0" w:firstLine="709"/>
        <w:jc w:val="both"/>
      </w:pPr>
      <w:r>
        <w:rPr>
          <w:rFonts w:ascii="Times New Roman" w:hAnsi="Times New Roman"/>
          <w:i w:val="0"/>
          <w:sz w:val="24"/>
        </w:rPr>
        <w:t>Além das lacunas da Tabela 3, convém adotar instrumentos comuns a outras modalidades coletivas, o que permitiria comparar o handebol com o futebol, o basquetebol e o voleibol (BIRD et al., 2025; REBELO et al., 2024), e considerar o calendário congestionado e a variação individual da carga como moderadores do humor (BÜCHEL; DÖRING; BAUMEISTER, 2026).</w:t>
      </w:r>
    </w:p>
    <w:p>
      <w:pPr>
        <w:keepNext/>
        <w:spacing w:before="240" w:after="120" w:line="360" w:lineRule="auto"/>
        <w:ind w:left="0" w:firstLine="0"/>
        <w:jc w:val="left"/>
      </w:pPr>
      <w:r>
        <w:rPr>
          <w:rFonts w:ascii="Times New Roman" w:hAnsi="Times New Roman"/>
          <w:b/>
          <w:sz w:val="24"/>
        </w:rPr>
        <w:t>4.7 Implicações práticas</w:t>
      </w:r>
    </w:p>
    <w:p>
      <w:pPr>
        <w:spacing w:before="0" w:after="0" w:line="360" w:lineRule="auto"/>
        <w:ind w:left="0" w:firstLine="709"/>
        <w:jc w:val="both"/>
      </w:pPr>
      <w:r>
        <w:rPr>
          <w:rFonts w:ascii="Times New Roman" w:hAnsi="Times New Roman"/>
          <w:i w:val="0"/>
          <w:sz w:val="24"/>
        </w:rPr>
        <w:t>Dada a certeza baixa ou muito baixa, as recomendações são orientações prudentes. As evidências sustentam o monitoramento breve e regular do humor, com instrumento validado e em horário fixo (DE MIRANDA ROHLFS et al., 2024; TERRY; PARSONS-SMITH, 2021), de preferência por sessão ou por registros momentâneos (MAJER et al., 2026). Recomendam-se a atenção à fadiga e ao vigor ao longo da temporada (BRESCIANI et al., 2010; PADILHAS et al., 2018) e o encorajamento verbal individual nas sessões (AYDI et al., 2025; SAHLI et al., 2022, 2024). A comunicação negativa exige cautela, dada sua repercussão sobre o afeto (SOTO; GARCÍA-HERRERO; CARCEDO, 2020), e o clima orientado à tarefa merece estímulo, pois se associou a menos sintomas de ansiedade, depressão e estresse em jovens handebolistas (GREBLO JURAKIĆ; BOJIĆ-ĆAĆIĆ; LJUBIČIĆ, 2026) e a mais afeto positivo (LOCHBAUM; SISNEROS, 2024). O horário do dia e o ciclo menstrual podem ser considerados no planejamento de treinos e testes (ESSID et al., 2022; LISENCHUK et al., 2019), embora com evidência frágil. A educação e a triagem do sono (WALSH et al., 2021) e a música autosselecionada antes da tarefa (DELLELI et al., 2023), ainda não testadas no handebol, têm respaldo na literatura geral. Nas semanas com dois ou mais jogos, o monitoramento deve ser individual, pois a carga acumulada varia entre jogadores e funções (BÜCHEL; DÖRING; BAUMEISTER, 2026), e o sono merece registro em viagens e torneios (LO et al., 2022). Após os jogos, convém atentar ao clima emocional da equipe, associado às emoções de cada jogador (RUMBOLD et al., 2022). Programas de habilidades psicológicas e de mindfulness, favoráveis em outras modalidades (DOMÍNGUEZ GONZÁLEZ et al., 2024; LI; LU; FANG, 2026; ZHANG et al., 2025), podem complementar a comunicação positiva do treinador, desde que avaliados na rotina das equipes de handebol.</w:t>
      </w:r>
    </w:p>
    <w:p>
      <w:pPr>
        <w:keepNext/>
        <w:spacing w:before="240" w:after="240" w:line="360" w:lineRule="auto"/>
        <w:ind w:left="0" w:firstLine="0"/>
        <w:jc w:val="left"/>
      </w:pPr>
      <w:r>
        <w:rPr>
          <w:rFonts w:ascii="Times New Roman" w:hAnsi="Times New Roman"/>
          <w:b/>
          <w:sz w:val="24"/>
        </w:rPr>
        <w:t>5 CONCLUSÃO</w:t>
      </w:r>
    </w:p>
    <w:p>
      <w:pPr>
        <w:spacing w:before="0" w:after="0" w:line="360" w:lineRule="auto"/>
        <w:ind w:left="0" w:firstLine="709"/>
        <w:jc w:val="both"/>
      </w:pPr>
      <w:r>
        <w:rPr>
          <w:rFonts w:ascii="Times New Roman" w:hAnsi="Times New Roman"/>
          <w:i w:val="0"/>
          <w:sz w:val="24"/>
        </w:rPr>
        <w:t>A literatura sobre os estados de humor em atletas de handebol reúne 34 estudos, publicados entre 2008 e 2026, concentrados na Espanha, na Tunísia e no Brasil, com amostras pequenas, predominantemente femininas e, em parte, compostas por escolares (QP1). O POMS e suas versões dominam a medida, em versões heterogêneas e em momentos nem sempre declarados ou coerentes com a interpretação dos autores (QP2). O humor associou-se à carga, sobretudo por meio de dimensões isoladas como a fadiga, ao resultado do jogo, às habilidades psicológicas e ao convívio social, com certeza baixa a muito baixa, e as variações com o horário do dia e o ciclo menstrual têm certeza muito baixa (QP3). O encorajamento verbal e o feedback modificaram o humor durante a prática, com certeza baixa em escolares e muito baixa em atletas, e as intervenções nutricionais, psicológicas e musicais não demonstraram efeito (QP4). A qualidade foi alta em catorze dos 34 estudos, mas falhas de integridade do relato atravessam todos os níveis de qualidade, e a heterogeneidade impediu a síntese quantitativa (QP5). Os mecanismos plausíveis, como a ativação endócrina, o sono, a carga acumulada e o contágio emocional, permanecem sem teste direto. Para a prática, o monitoramento regular do humor e a comunicação positiva do treinador são as condutas mais defensáveis. Para a pesquisa, a prioridade são medidas repetidas por sessão, momento declarado, análise por sexo, relato completo e delineamentos experimentais na rotina das equipes, incluídas intervenções de sono e de clima motivacional.</w:t>
      </w:r>
    </w:p>
    <w:p>
      <w:pPr>
        <w:keepNext/>
        <w:spacing w:before="240" w:after="240" w:line="360" w:lineRule="auto"/>
        <w:ind w:left="0" w:firstLine="0"/>
        <w:jc w:val="center"/>
      </w:pPr>
      <w:r>
        <w:rPr>
          <w:rFonts w:ascii="Times New Roman" w:hAnsi="Times New Roman"/>
          <w:b/>
          <w:sz w:val="24"/>
        </w:rPr>
        <w:t>REFERÊNCIAS</w:t>
      </w:r>
    </w:p>
    <w:p>
      <w:pPr>
        <w:spacing w:before="0" w:after="120" w:line="240" w:lineRule="auto"/>
        <w:ind w:left="0" w:firstLine="0"/>
        <w:jc w:val="left"/>
      </w:pPr>
      <w:r>
        <w:rPr>
          <w:rFonts w:ascii="Times New Roman" w:hAnsi="Times New Roman"/>
          <w:i w:val="0"/>
          <w:sz w:val="24"/>
        </w:rPr>
        <w:t xml:space="preserve">AFONSO, P. et al. Shaping Training Load, Technical–Tactical Behaviour, and Well-Being in Football: A Systematic Review. </w:t>
      </w:r>
      <w:r>
        <w:rPr>
          <w:rFonts w:ascii="Times New Roman" w:hAnsi="Times New Roman"/>
          <w:b/>
          <w:sz w:val="24"/>
        </w:rPr>
        <w:t>Sports</w:t>
      </w:r>
      <w:r>
        <w:rPr>
          <w:rFonts w:ascii="Times New Roman" w:hAnsi="Times New Roman"/>
          <w:i w:val="0"/>
          <w:sz w:val="24"/>
        </w:rPr>
        <w:t>, v. 13, n. 8, e244, 2025. DOI: https://doi.org/10.3390/sports13080244.</w:t>
      </w:r>
    </w:p>
    <w:p>
      <w:pPr>
        <w:spacing w:before="0" w:after="120" w:line="240" w:lineRule="auto"/>
        <w:ind w:left="0" w:firstLine="0"/>
        <w:jc w:val="left"/>
      </w:pPr>
      <w:r>
        <w:rPr>
          <w:rFonts w:ascii="Times New Roman" w:hAnsi="Times New Roman"/>
          <w:i w:val="0"/>
          <w:sz w:val="24"/>
        </w:rPr>
        <w:t xml:space="preserve">AKROUSH, S. et al. Psychological mood patterns among Jordanian handball players. </w:t>
      </w:r>
      <w:r>
        <w:rPr>
          <w:rFonts w:ascii="Times New Roman" w:hAnsi="Times New Roman"/>
          <w:b/>
          <w:sz w:val="24"/>
        </w:rPr>
        <w:t>Retos</w:t>
      </w:r>
      <w:r>
        <w:rPr>
          <w:rFonts w:ascii="Times New Roman" w:hAnsi="Times New Roman"/>
          <w:i w:val="0"/>
          <w:sz w:val="24"/>
        </w:rPr>
        <w:t>, n. 62, p. 285-294, 2025. DOI: https://doi.org/10.47197/retos.v62.109407.</w:t>
      </w:r>
    </w:p>
    <w:p>
      <w:pPr>
        <w:spacing w:before="0" w:after="120" w:line="240" w:lineRule="auto"/>
        <w:ind w:left="0" w:firstLine="0"/>
        <w:jc w:val="left"/>
      </w:pPr>
      <w:r>
        <w:rPr>
          <w:rFonts w:ascii="Times New Roman" w:hAnsi="Times New Roman"/>
          <w:i w:val="0"/>
          <w:sz w:val="24"/>
        </w:rPr>
        <w:t xml:space="preserve">AL-WATTAR, N. S.; AL-BADRANE, M. M. Effect of a training program by using self-regulation strategies of mood for handball players. </w:t>
      </w:r>
      <w:r>
        <w:rPr>
          <w:rFonts w:ascii="Times New Roman" w:hAnsi="Times New Roman"/>
          <w:b/>
          <w:sz w:val="24"/>
        </w:rPr>
        <w:t>Al-Rafidain Journal for Sport Sciences</w:t>
      </w:r>
      <w:r>
        <w:rPr>
          <w:rFonts w:ascii="Times New Roman" w:hAnsi="Times New Roman"/>
          <w:i w:val="0"/>
          <w:sz w:val="24"/>
        </w:rPr>
        <w:t>, v. 20, n. 64, p. 396-444, 2014. DOI: https://doi.org/10.33899/rajsport.2014.81916.</w:t>
      </w:r>
    </w:p>
    <w:p>
      <w:pPr>
        <w:spacing w:before="0" w:after="120" w:line="240" w:lineRule="auto"/>
        <w:ind w:left="0" w:firstLine="0"/>
        <w:jc w:val="left"/>
      </w:pPr>
      <w:r>
        <w:rPr>
          <w:rFonts w:ascii="Times New Roman" w:hAnsi="Times New Roman"/>
          <w:i w:val="0"/>
          <w:sz w:val="24"/>
        </w:rPr>
        <w:t xml:space="preserve">ASSUNÇÃO CARVALHO, L. C. D. S. et al. Syzygium cumini Nectar Supplementation Reduced Biomarkers of Oxidative Stress, Muscle Damage, and Improved Psychological Response in Highly Trained Young Handball Players. </w:t>
      </w:r>
      <w:r>
        <w:rPr>
          <w:rFonts w:ascii="Times New Roman" w:hAnsi="Times New Roman"/>
          <w:b/>
          <w:sz w:val="24"/>
        </w:rPr>
        <w:t>Frontiers in Physiology</w:t>
      </w:r>
      <w:r>
        <w:rPr>
          <w:rFonts w:ascii="Times New Roman" w:hAnsi="Times New Roman"/>
          <w:i w:val="0"/>
          <w:sz w:val="24"/>
        </w:rPr>
        <w:t>, v. 9, e1508, 2018. DOI: https://doi.org/10.3389/fphys.2018.01508.</w:t>
      </w:r>
    </w:p>
    <w:p>
      <w:pPr>
        <w:spacing w:before="0" w:after="120" w:line="240" w:lineRule="auto"/>
        <w:ind w:left="0" w:firstLine="0"/>
        <w:jc w:val="left"/>
      </w:pPr>
      <w:r>
        <w:rPr>
          <w:rFonts w:ascii="Times New Roman" w:hAnsi="Times New Roman"/>
          <w:i w:val="0"/>
          <w:sz w:val="24"/>
        </w:rPr>
        <w:t xml:space="preserve">AYDI, B. et al. Empowering Obese Children in Physical Education: Exploring the Influence of Verbal Encouragement on Games Intensity, Mood States, and Physical Enjoyment during Passing Games. </w:t>
      </w:r>
      <w:r>
        <w:rPr>
          <w:rFonts w:ascii="Times New Roman" w:hAnsi="Times New Roman"/>
          <w:b/>
          <w:sz w:val="24"/>
        </w:rPr>
        <w:t>PLOS ONE</w:t>
      </w:r>
      <w:r>
        <w:rPr>
          <w:rFonts w:ascii="Times New Roman" w:hAnsi="Times New Roman"/>
          <w:i w:val="0"/>
          <w:sz w:val="24"/>
        </w:rPr>
        <w:t>, v. 20, n. 4, e0319414, 2025. DOI: https://doi.org/10.1371/journal.pone.0319414.</w:t>
      </w:r>
    </w:p>
    <w:p>
      <w:pPr>
        <w:spacing w:before="0" w:after="120" w:line="240" w:lineRule="auto"/>
        <w:ind w:left="0" w:firstLine="0"/>
        <w:jc w:val="left"/>
      </w:pPr>
      <w:r>
        <w:rPr>
          <w:rFonts w:ascii="Times New Roman" w:hAnsi="Times New Roman"/>
          <w:i w:val="0"/>
          <w:sz w:val="24"/>
        </w:rPr>
        <w:t xml:space="preserve">BASTOS, V. et al. Assessing affective valence and activation in resistance training with the feeling scale and the felt arousal scale: A systematic review. </w:t>
      </w:r>
      <w:r>
        <w:rPr>
          <w:rFonts w:ascii="Times New Roman" w:hAnsi="Times New Roman"/>
          <w:b/>
          <w:sz w:val="24"/>
        </w:rPr>
        <w:t>PLOS ONE</w:t>
      </w:r>
      <w:r>
        <w:rPr>
          <w:rFonts w:ascii="Times New Roman" w:hAnsi="Times New Roman"/>
          <w:i w:val="0"/>
          <w:sz w:val="24"/>
        </w:rPr>
        <w:t>, v. 18, n. 11, e0294529, 2023. DOI: https://doi.org/10.1371/journal.pone.0294529.</w:t>
      </w:r>
    </w:p>
    <w:p>
      <w:pPr>
        <w:spacing w:before="0" w:after="120" w:line="240" w:lineRule="auto"/>
        <w:ind w:left="0" w:firstLine="0"/>
        <w:jc w:val="left"/>
      </w:pPr>
      <w:r>
        <w:rPr>
          <w:rFonts w:ascii="Times New Roman" w:hAnsi="Times New Roman"/>
          <w:i w:val="0"/>
          <w:sz w:val="24"/>
        </w:rPr>
        <w:t xml:space="preserve">BATALLA-GAVALDA, A. et al. Ecological Validity of Maximal Exercise Tests to Simulate Competitive Demands in Amateur Female Handball. </w:t>
      </w:r>
      <w:r>
        <w:rPr>
          <w:rFonts w:ascii="Times New Roman" w:hAnsi="Times New Roman"/>
          <w:b/>
          <w:sz w:val="24"/>
        </w:rPr>
        <w:t>Acta Kinesiologica</w:t>
      </w:r>
      <w:r>
        <w:rPr>
          <w:rFonts w:ascii="Times New Roman" w:hAnsi="Times New Roman"/>
          <w:i w:val="0"/>
          <w:sz w:val="24"/>
        </w:rPr>
        <w:t>, p. 34-42, 2026. DOI: https://doi.org/10.51371/issn.1840-2976.651.</w:t>
      </w:r>
    </w:p>
    <w:p>
      <w:pPr>
        <w:spacing w:before="0" w:after="120" w:line="240" w:lineRule="auto"/>
        <w:ind w:left="0" w:firstLine="0"/>
        <w:jc w:val="left"/>
      </w:pPr>
      <w:r>
        <w:rPr>
          <w:rFonts w:ascii="Times New Roman" w:hAnsi="Times New Roman"/>
          <w:i w:val="0"/>
          <w:sz w:val="24"/>
        </w:rPr>
        <w:t xml:space="preserve">BATALLA-GAVALDA, A. et al. Mayor validez ecológica del Game-Based Performance Test en comparación con el Yo-Yo IR1 en jugadoras de balonmano amateur. </w:t>
      </w:r>
      <w:r>
        <w:rPr>
          <w:rFonts w:ascii="Times New Roman" w:hAnsi="Times New Roman"/>
          <w:b/>
          <w:sz w:val="24"/>
        </w:rPr>
        <w:t>Journal of Sport and Health Research</w:t>
      </w:r>
      <w:r>
        <w:rPr>
          <w:rFonts w:ascii="Times New Roman" w:hAnsi="Times New Roman"/>
          <w:i w:val="0"/>
          <w:sz w:val="24"/>
        </w:rPr>
        <w:t>, v. 17, n. Supl. 2, p. 178-196, 2025. DOI: https://doi.org/10.58727/jshr.118640.</w:t>
      </w:r>
    </w:p>
    <w:p>
      <w:pPr>
        <w:spacing w:before="0" w:after="120" w:line="240" w:lineRule="auto"/>
        <w:ind w:left="0" w:firstLine="0"/>
        <w:jc w:val="left"/>
      </w:pPr>
      <w:r>
        <w:rPr>
          <w:rFonts w:ascii="Times New Roman" w:hAnsi="Times New Roman"/>
          <w:i w:val="0"/>
          <w:sz w:val="24"/>
        </w:rPr>
        <w:t xml:space="preserve">BATALLA-GAVALDA, A. et al. Variations in the Mood States during the Different Phases of COVID-19’s Lockdown in Young Athletes. </w:t>
      </w:r>
      <w:r>
        <w:rPr>
          <w:rFonts w:ascii="Times New Roman" w:hAnsi="Times New Roman"/>
          <w:b/>
          <w:sz w:val="24"/>
        </w:rPr>
        <w:t>International Journal of Environmental Research and Public Health</w:t>
      </w:r>
      <w:r>
        <w:rPr>
          <w:rFonts w:ascii="Times New Roman" w:hAnsi="Times New Roman"/>
          <w:i w:val="0"/>
          <w:sz w:val="24"/>
        </w:rPr>
        <w:t>, v. 18, n. 17, e9326, 2021. DOI: https://doi.org/10.3390/ijerph18179326.</w:t>
      </w:r>
    </w:p>
    <w:p>
      <w:pPr>
        <w:spacing w:before="0" w:after="120" w:line="240" w:lineRule="auto"/>
        <w:ind w:left="0" w:firstLine="0"/>
        <w:jc w:val="left"/>
      </w:pPr>
      <w:r>
        <w:rPr>
          <w:rFonts w:ascii="Times New Roman" w:hAnsi="Times New Roman"/>
          <w:i w:val="0"/>
          <w:sz w:val="24"/>
        </w:rPr>
        <w:t xml:space="preserve">BEEDIE, C. J.; TERRY, P. C.; LANE, A. M. The profile of mood states and athletic performance: Two meta-analyses. </w:t>
      </w:r>
      <w:r>
        <w:rPr>
          <w:rFonts w:ascii="Times New Roman" w:hAnsi="Times New Roman"/>
          <w:b/>
          <w:sz w:val="24"/>
        </w:rPr>
        <w:t>Journal of Applied Sport Psychology</w:t>
      </w:r>
      <w:r>
        <w:rPr>
          <w:rFonts w:ascii="Times New Roman" w:hAnsi="Times New Roman"/>
          <w:i w:val="0"/>
          <w:sz w:val="24"/>
        </w:rPr>
        <w:t>, v. 12, n. 1, p. 49-68, 2000. DOI: https://doi.org/10.1080/10413200008404213.</w:t>
      </w:r>
    </w:p>
    <w:p>
      <w:pPr>
        <w:spacing w:before="0" w:after="120" w:line="240" w:lineRule="auto"/>
        <w:ind w:left="0" w:firstLine="0"/>
        <w:jc w:val="left"/>
      </w:pPr>
      <w:r>
        <w:rPr>
          <w:rFonts w:ascii="Times New Roman" w:hAnsi="Times New Roman"/>
          <w:i w:val="0"/>
          <w:sz w:val="24"/>
        </w:rPr>
        <w:t xml:space="preserve">BEEDIE, C.; TERRY, P.; LANE, A. Distinctions between emotion and mood. </w:t>
      </w:r>
      <w:r>
        <w:rPr>
          <w:rFonts w:ascii="Times New Roman" w:hAnsi="Times New Roman"/>
          <w:b/>
          <w:sz w:val="24"/>
        </w:rPr>
        <w:t>Cognition and Emotion</w:t>
      </w:r>
      <w:r>
        <w:rPr>
          <w:rFonts w:ascii="Times New Roman" w:hAnsi="Times New Roman"/>
          <w:i w:val="0"/>
          <w:sz w:val="24"/>
        </w:rPr>
        <w:t>, v. 19, n. 6, p. 847-878, 2005. DOI: https://doi.org/10.1080/02699930541000057.</w:t>
      </w:r>
    </w:p>
    <w:p>
      <w:pPr>
        <w:spacing w:before="0" w:after="120" w:line="240" w:lineRule="auto"/>
        <w:ind w:left="0" w:firstLine="0"/>
        <w:jc w:val="left"/>
      </w:pPr>
      <w:r>
        <w:rPr>
          <w:rFonts w:ascii="Times New Roman" w:hAnsi="Times New Roman"/>
          <w:i w:val="0"/>
          <w:sz w:val="24"/>
        </w:rPr>
        <w:t xml:space="preserve">BIRD, S. P. et al. Wellness, Mood, Sleep, and Performance in a Women's National Basketball Team during International Competition. </w:t>
      </w:r>
      <w:r>
        <w:rPr>
          <w:rFonts w:ascii="Times New Roman" w:hAnsi="Times New Roman"/>
          <w:b/>
          <w:sz w:val="24"/>
        </w:rPr>
        <w:t>Journal of Human Kinetics</w:t>
      </w:r>
      <w:r>
        <w:rPr>
          <w:rFonts w:ascii="Times New Roman" w:hAnsi="Times New Roman"/>
          <w:i w:val="0"/>
          <w:sz w:val="24"/>
        </w:rPr>
        <w:t>, v. 96, p. 163-175, 2025. DOI: https://doi.org/10.5114/jhk/200117.</w:t>
      </w:r>
    </w:p>
    <w:p>
      <w:pPr>
        <w:spacing w:before="0" w:after="120" w:line="240" w:lineRule="auto"/>
        <w:ind w:left="0" w:firstLine="0"/>
        <w:jc w:val="left"/>
      </w:pPr>
      <w:r>
        <w:rPr>
          <w:rFonts w:ascii="Times New Roman" w:hAnsi="Times New Roman"/>
          <w:i w:val="0"/>
          <w:sz w:val="24"/>
        </w:rPr>
        <w:t xml:space="preserve">BRESCIANI, G. et al. Monitoring biological and psychological measures throughout an entire season in male handball players. </w:t>
      </w:r>
      <w:r>
        <w:rPr>
          <w:rFonts w:ascii="Times New Roman" w:hAnsi="Times New Roman"/>
          <w:b/>
          <w:sz w:val="24"/>
        </w:rPr>
        <w:t>European Journal of Sport Science</w:t>
      </w:r>
      <w:r>
        <w:rPr>
          <w:rFonts w:ascii="Times New Roman" w:hAnsi="Times New Roman"/>
          <w:i w:val="0"/>
          <w:sz w:val="24"/>
        </w:rPr>
        <w:t>, v. 10, n. 6, p. 377-384, 2010. DOI: https://doi.org/10.1080/17461391003699070.</w:t>
      </w:r>
    </w:p>
    <w:p>
      <w:pPr>
        <w:spacing w:before="0" w:after="120" w:line="240" w:lineRule="auto"/>
        <w:ind w:left="0" w:firstLine="0"/>
        <w:jc w:val="left"/>
      </w:pPr>
      <w:r>
        <w:rPr>
          <w:rFonts w:ascii="Times New Roman" w:hAnsi="Times New Roman"/>
          <w:i w:val="0"/>
          <w:sz w:val="24"/>
        </w:rPr>
        <w:t xml:space="preserve">BÜCHEL, D.; DÖRING, M.; BAUMEISTER, J. Inter-individual differences in weekly training load in international-level handball: the effect of congested match schedules. </w:t>
      </w:r>
      <w:r>
        <w:rPr>
          <w:rFonts w:ascii="Times New Roman" w:hAnsi="Times New Roman"/>
          <w:b/>
          <w:sz w:val="24"/>
        </w:rPr>
        <w:t>Frontiers in Sports and Active Living</w:t>
      </w:r>
      <w:r>
        <w:rPr>
          <w:rFonts w:ascii="Times New Roman" w:hAnsi="Times New Roman"/>
          <w:i w:val="0"/>
          <w:sz w:val="24"/>
        </w:rPr>
        <w:t>, v. 7, e1605750, 2026. DOI: https://doi.org/10.3389/fspor.2025.1605750.</w:t>
      </w:r>
    </w:p>
    <w:p>
      <w:pPr>
        <w:spacing w:before="0" w:after="120" w:line="240" w:lineRule="auto"/>
        <w:ind w:left="0" w:firstLine="0"/>
        <w:jc w:val="left"/>
      </w:pPr>
      <w:r>
        <w:rPr>
          <w:rFonts w:ascii="Times New Roman" w:hAnsi="Times New Roman"/>
          <w:i w:val="0"/>
          <w:sz w:val="24"/>
        </w:rPr>
        <w:t xml:space="preserve">BUCHHEIT, M. Sensitivity of monthly heart rate and psychometric measures for monitoring physical performance in highly trained young handball players. </w:t>
      </w:r>
      <w:r>
        <w:rPr>
          <w:rFonts w:ascii="Times New Roman" w:hAnsi="Times New Roman"/>
          <w:b/>
          <w:sz w:val="24"/>
        </w:rPr>
        <w:t>International Journal of Sports Medicine</w:t>
      </w:r>
      <w:r>
        <w:rPr>
          <w:rFonts w:ascii="Times New Roman" w:hAnsi="Times New Roman"/>
          <w:i w:val="0"/>
          <w:sz w:val="24"/>
        </w:rPr>
        <w:t>, v. 36, n. 5, p. 351-356, 2015. DOI: https://doi.org/10.1055/s-0034-1385882.</w:t>
      </w:r>
    </w:p>
    <w:p>
      <w:pPr>
        <w:spacing w:before="0" w:after="120" w:line="240" w:lineRule="auto"/>
        <w:ind w:left="0" w:firstLine="0"/>
        <w:jc w:val="left"/>
      </w:pPr>
      <w:r>
        <w:rPr>
          <w:rFonts w:ascii="Times New Roman" w:hAnsi="Times New Roman"/>
          <w:i w:val="0"/>
          <w:sz w:val="24"/>
        </w:rPr>
        <w:t xml:space="preserve">CAMPBELL, M. et al. Synthesis without meta-analysis (SWiM) in systematic reviews: reporting guideline. </w:t>
      </w:r>
      <w:r>
        <w:rPr>
          <w:rFonts w:ascii="Times New Roman" w:hAnsi="Times New Roman"/>
          <w:b/>
          <w:sz w:val="24"/>
        </w:rPr>
        <w:t>BMJ</w:t>
      </w:r>
      <w:r>
        <w:rPr>
          <w:rFonts w:ascii="Times New Roman" w:hAnsi="Times New Roman"/>
          <w:i w:val="0"/>
          <w:sz w:val="24"/>
        </w:rPr>
        <w:t>, l6890, 2020. DOI: https://doi.org/10.1136/bmj.l6890.</w:t>
      </w:r>
    </w:p>
    <w:p>
      <w:pPr>
        <w:spacing w:before="0" w:after="120" w:line="240" w:lineRule="auto"/>
        <w:ind w:left="0" w:firstLine="0"/>
        <w:jc w:val="left"/>
      </w:pPr>
      <w:r>
        <w:rPr>
          <w:rFonts w:ascii="Times New Roman" w:hAnsi="Times New Roman"/>
          <w:i w:val="0"/>
          <w:sz w:val="24"/>
        </w:rPr>
        <w:t xml:space="preserve">CLEVELAND, W. S. Robust Locally Weighted Regression and Smoothing Scatterplots. </w:t>
      </w:r>
      <w:r>
        <w:rPr>
          <w:rFonts w:ascii="Times New Roman" w:hAnsi="Times New Roman"/>
          <w:b/>
          <w:sz w:val="24"/>
        </w:rPr>
        <w:t>Journal of the American Statistical Association</w:t>
      </w:r>
      <w:r>
        <w:rPr>
          <w:rFonts w:ascii="Times New Roman" w:hAnsi="Times New Roman"/>
          <w:i w:val="0"/>
          <w:sz w:val="24"/>
        </w:rPr>
        <w:t>, v. 74, n. 368, p. 829-836, 1979. DOI: https://doi.org/10.1080/01621459.1979.10481038.</w:t>
      </w:r>
    </w:p>
    <w:p>
      <w:pPr>
        <w:spacing w:before="0" w:after="120" w:line="240" w:lineRule="auto"/>
        <w:ind w:left="0" w:firstLine="0"/>
        <w:jc w:val="left"/>
      </w:pPr>
      <w:r>
        <w:rPr>
          <w:rFonts w:ascii="Times New Roman" w:hAnsi="Times New Roman"/>
          <w:i w:val="0"/>
          <w:sz w:val="24"/>
        </w:rPr>
        <w:t xml:space="preserve">COHEN, J. A Coefficient of Agreement for Nominal Scales. </w:t>
      </w:r>
      <w:r>
        <w:rPr>
          <w:rFonts w:ascii="Times New Roman" w:hAnsi="Times New Roman"/>
          <w:b/>
          <w:sz w:val="24"/>
        </w:rPr>
        <w:t>Educational and Psychological Measurement</w:t>
      </w:r>
      <w:r>
        <w:rPr>
          <w:rFonts w:ascii="Times New Roman" w:hAnsi="Times New Roman"/>
          <w:i w:val="0"/>
          <w:sz w:val="24"/>
        </w:rPr>
        <w:t>, v. 20, n. 1, p. 37-46, 1960. DOI: https://doi.org/10.1177/001316446002000104.</w:t>
      </w:r>
    </w:p>
    <w:p>
      <w:pPr>
        <w:spacing w:before="0" w:after="120" w:line="240" w:lineRule="auto"/>
        <w:ind w:left="0" w:firstLine="0"/>
        <w:jc w:val="left"/>
      </w:pPr>
      <w:r>
        <w:rPr>
          <w:rFonts w:ascii="Times New Roman" w:hAnsi="Times New Roman"/>
          <w:i w:val="0"/>
          <w:sz w:val="24"/>
        </w:rPr>
        <w:t xml:space="preserve">CREWTHER, B. T. et al. Dose-response and time-lagged effect of daily training load on athlete well-being during an international rugby series. </w:t>
      </w:r>
      <w:r>
        <w:rPr>
          <w:rFonts w:ascii="Times New Roman" w:hAnsi="Times New Roman"/>
          <w:b/>
          <w:sz w:val="24"/>
        </w:rPr>
        <w:t>Biology of Sport</w:t>
      </w:r>
      <w:r>
        <w:rPr>
          <w:rFonts w:ascii="Times New Roman" w:hAnsi="Times New Roman"/>
          <w:i w:val="0"/>
          <w:sz w:val="24"/>
        </w:rPr>
        <w:t>, v. 42, n. 1, p. 39-45, 2025. DOI: https://doi.org/10.5114/biolsport.2025.139080.</w:t>
      </w:r>
    </w:p>
    <w:p>
      <w:pPr>
        <w:spacing w:before="0" w:after="120" w:line="240" w:lineRule="auto"/>
        <w:ind w:left="0" w:firstLine="0"/>
        <w:jc w:val="left"/>
      </w:pPr>
      <w:r>
        <w:rPr>
          <w:rFonts w:ascii="Times New Roman" w:hAnsi="Times New Roman"/>
          <w:i w:val="0"/>
          <w:sz w:val="24"/>
        </w:rPr>
        <w:t xml:space="preserve">DE MIRANDA ROHLFS, I. C. P. et al. Prevalence of Specific Mood Profile Clusters among Elite and Youth Athletes at a Brazilian Sports Club. </w:t>
      </w:r>
      <w:r>
        <w:rPr>
          <w:rFonts w:ascii="Times New Roman" w:hAnsi="Times New Roman"/>
          <w:b/>
          <w:sz w:val="24"/>
        </w:rPr>
        <w:t>Sports</w:t>
      </w:r>
      <w:r>
        <w:rPr>
          <w:rFonts w:ascii="Times New Roman" w:hAnsi="Times New Roman"/>
          <w:i w:val="0"/>
          <w:sz w:val="24"/>
        </w:rPr>
        <w:t>, v. 12, n. 7, e195, 2024. DOI: https://doi.org/10.3390/sports12070195.</w:t>
      </w:r>
    </w:p>
    <w:p>
      <w:pPr>
        <w:spacing w:before="0" w:after="120" w:line="240" w:lineRule="auto"/>
        <w:ind w:left="0" w:firstLine="0"/>
        <w:jc w:val="left"/>
      </w:pPr>
      <w:r>
        <w:rPr>
          <w:rFonts w:ascii="Times New Roman" w:hAnsi="Times New Roman"/>
          <w:i w:val="0"/>
          <w:sz w:val="24"/>
        </w:rPr>
        <w:t xml:space="preserve">DELLELI, S. et al. The effects of pre-task music on exercise performance and associated psycho-physiological responses: a systematic review with multilevel meta-analysis of controlled studies. </w:t>
      </w:r>
      <w:r>
        <w:rPr>
          <w:rFonts w:ascii="Times New Roman" w:hAnsi="Times New Roman"/>
          <w:b/>
          <w:sz w:val="24"/>
        </w:rPr>
        <w:t>Frontiers in Psychology</w:t>
      </w:r>
      <w:r>
        <w:rPr>
          <w:rFonts w:ascii="Times New Roman" w:hAnsi="Times New Roman"/>
          <w:i w:val="0"/>
          <w:sz w:val="24"/>
        </w:rPr>
        <w:t>, v. 14, e1293783, 2023. DOI: https://doi.org/10.3389/fpsyg.2023.1293783.</w:t>
      </w:r>
    </w:p>
    <w:p>
      <w:pPr>
        <w:spacing w:before="0" w:after="120" w:line="240" w:lineRule="auto"/>
        <w:ind w:left="0" w:firstLine="0"/>
        <w:jc w:val="left"/>
      </w:pPr>
      <w:r>
        <w:rPr>
          <w:rFonts w:ascii="Times New Roman" w:hAnsi="Times New Roman"/>
          <w:i w:val="0"/>
          <w:sz w:val="24"/>
        </w:rPr>
        <w:t xml:space="preserve">DIACHENKO, M.; TYSHCHENKO, V. Psycho-emotional regulation of female handball players during training. </w:t>
      </w:r>
      <w:r>
        <w:rPr>
          <w:rFonts w:ascii="Times New Roman" w:hAnsi="Times New Roman"/>
          <w:b/>
          <w:sz w:val="24"/>
        </w:rPr>
        <w:t>Scientific Journal of National Pedagogical Dragomanov University. Series 15: Scientific and Pedagogical Problems of Physical Culture (Physical Culture and Sports)</w:t>
      </w:r>
      <w:r>
        <w:rPr>
          <w:rFonts w:ascii="Times New Roman" w:hAnsi="Times New Roman"/>
          <w:i w:val="0"/>
          <w:sz w:val="24"/>
        </w:rPr>
        <w:t>, n. 5K(191), p. 66-70, 2025. DOI: https://doi.org/10.31392/udu-nc.series15.2025.05k(191).13.</w:t>
      </w:r>
    </w:p>
    <w:p>
      <w:pPr>
        <w:spacing w:before="0" w:after="120" w:line="240" w:lineRule="auto"/>
        <w:ind w:left="0" w:firstLine="0"/>
        <w:jc w:val="left"/>
      </w:pPr>
      <w:r>
        <w:rPr>
          <w:rFonts w:ascii="Times New Roman" w:hAnsi="Times New Roman"/>
          <w:i w:val="0"/>
          <w:sz w:val="24"/>
        </w:rPr>
        <w:t xml:space="preserve">DOMÍNGUEZ GONZÁLEZ, J. A. et al. Effects of a Psychological Intervention Program on Competitive Anxiety and Psychological Profile in Young Soccer Players. </w:t>
      </w:r>
      <w:r>
        <w:rPr>
          <w:rFonts w:ascii="Times New Roman" w:hAnsi="Times New Roman"/>
          <w:b/>
          <w:sz w:val="24"/>
        </w:rPr>
        <w:t>Perceptual and Motor Skills</w:t>
      </w:r>
      <w:r>
        <w:rPr>
          <w:rFonts w:ascii="Times New Roman" w:hAnsi="Times New Roman"/>
          <w:i w:val="0"/>
          <w:sz w:val="24"/>
        </w:rPr>
        <w:t>, v. 131, n. 4, p. 1233-1256, 2024. DOI: https://doi.org/10.1177/00315125241256410.</w:t>
      </w:r>
    </w:p>
    <w:p>
      <w:pPr>
        <w:spacing w:before="0" w:after="120" w:line="240" w:lineRule="auto"/>
        <w:ind w:left="0" w:firstLine="0"/>
        <w:jc w:val="left"/>
      </w:pPr>
      <w:r>
        <w:rPr>
          <w:rFonts w:ascii="Times New Roman" w:hAnsi="Times New Roman"/>
          <w:i w:val="0"/>
          <w:sz w:val="24"/>
        </w:rPr>
        <w:t xml:space="preserve">DORON, J.; MARTINENT, G. Dealing with elite sport competition demands: an exploration of the dynamic relationships between stress appraisal, coping, emotion, and performance during fencing matches. </w:t>
      </w:r>
      <w:r>
        <w:rPr>
          <w:rFonts w:ascii="Times New Roman" w:hAnsi="Times New Roman"/>
          <w:b/>
          <w:sz w:val="24"/>
        </w:rPr>
        <w:t>Cognition and Emotion</w:t>
      </w:r>
      <w:r>
        <w:rPr>
          <w:rFonts w:ascii="Times New Roman" w:hAnsi="Times New Roman"/>
          <w:i w:val="0"/>
          <w:sz w:val="24"/>
        </w:rPr>
        <w:t>, v. 35, n. 7, p. 1365-1381, 2021. DOI: https://doi.org/10.1080/02699931.2021.1960800.</w:t>
      </w:r>
    </w:p>
    <w:p>
      <w:pPr>
        <w:spacing w:before="0" w:after="120" w:line="240" w:lineRule="auto"/>
        <w:ind w:left="0" w:firstLine="0"/>
        <w:jc w:val="left"/>
      </w:pPr>
      <w:r>
        <w:rPr>
          <w:rFonts w:ascii="Times New Roman" w:hAnsi="Times New Roman"/>
          <w:i w:val="0"/>
          <w:sz w:val="24"/>
        </w:rPr>
        <w:t xml:space="preserve">DOWNES, M. J. et al. Development of a critical appraisal tool to assess the quality of cross-sectional studies (AXIS). </w:t>
      </w:r>
      <w:r>
        <w:rPr>
          <w:rFonts w:ascii="Times New Roman" w:hAnsi="Times New Roman"/>
          <w:b/>
          <w:sz w:val="24"/>
        </w:rPr>
        <w:t>BMJ Open</w:t>
      </w:r>
      <w:r>
        <w:rPr>
          <w:rFonts w:ascii="Times New Roman" w:hAnsi="Times New Roman"/>
          <w:i w:val="0"/>
          <w:sz w:val="24"/>
        </w:rPr>
        <w:t>, v. 6, n. 12, e011458, 2016. DOI: https://doi.org/10.1136/bmjopen-2016-011458.</w:t>
      </w:r>
    </w:p>
    <w:p>
      <w:pPr>
        <w:spacing w:before="0" w:after="120" w:line="240" w:lineRule="auto"/>
        <w:ind w:left="0" w:firstLine="0"/>
        <w:jc w:val="left"/>
      </w:pPr>
      <w:r>
        <w:rPr>
          <w:rFonts w:ascii="Times New Roman" w:hAnsi="Times New Roman"/>
          <w:i w:val="0"/>
          <w:sz w:val="24"/>
        </w:rPr>
        <w:t xml:space="preserve">DUIGNAN, C. et al. Single-Item Self-Report Measures of Team-Sport Athlete Wellbeing and Their Relationship With Training Load: A Systematic Review. </w:t>
      </w:r>
      <w:r>
        <w:rPr>
          <w:rFonts w:ascii="Times New Roman" w:hAnsi="Times New Roman"/>
          <w:b/>
          <w:sz w:val="24"/>
        </w:rPr>
        <w:t>Journal of Athletic Training</w:t>
      </w:r>
      <w:r>
        <w:rPr>
          <w:rFonts w:ascii="Times New Roman" w:hAnsi="Times New Roman"/>
          <w:i w:val="0"/>
          <w:sz w:val="24"/>
        </w:rPr>
        <w:t>, v. 55, n. 9, p. 944-953, 2020. DOI: https://doi.org/10.4085/1062-6050-0528.19.</w:t>
      </w:r>
    </w:p>
    <w:p>
      <w:pPr>
        <w:spacing w:before="0" w:after="120" w:line="240" w:lineRule="auto"/>
        <w:ind w:left="0" w:firstLine="0"/>
        <w:jc w:val="left"/>
      </w:pPr>
      <w:r>
        <w:rPr>
          <w:rFonts w:ascii="Times New Roman" w:hAnsi="Times New Roman"/>
          <w:i w:val="0"/>
          <w:sz w:val="24"/>
        </w:rPr>
        <w:t xml:space="preserve">DURAI, C.; ATHISAYARAJ, S. Comparison of mood states between handball and volleyball players. </w:t>
      </w:r>
      <w:r>
        <w:rPr>
          <w:rFonts w:ascii="Times New Roman" w:hAnsi="Times New Roman"/>
          <w:b/>
          <w:sz w:val="24"/>
        </w:rPr>
        <w:t>International Journal of Physiology, Nutrition and Physical Education</w:t>
      </w:r>
      <w:r>
        <w:rPr>
          <w:rFonts w:ascii="Times New Roman" w:hAnsi="Times New Roman"/>
          <w:i w:val="0"/>
          <w:sz w:val="24"/>
        </w:rPr>
        <w:t>, v. 3, n. 2, p. 43-44, 2018.</w:t>
      </w:r>
    </w:p>
    <w:p>
      <w:pPr>
        <w:spacing w:before="0" w:after="120" w:line="240" w:lineRule="auto"/>
        <w:ind w:left="0" w:firstLine="0"/>
        <w:jc w:val="left"/>
      </w:pPr>
      <w:r>
        <w:rPr>
          <w:rFonts w:ascii="Times New Roman" w:hAnsi="Times New Roman"/>
          <w:i w:val="0"/>
          <w:sz w:val="24"/>
        </w:rPr>
        <w:t xml:space="preserve">EKKEKAKIS, P.; BRAND, R. Affective responses to and automatic affective valuations of physical activity: Fifty years of progress on the seminal question in exercise psychology. </w:t>
      </w:r>
      <w:r>
        <w:rPr>
          <w:rFonts w:ascii="Times New Roman" w:hAnsi="Times New Roman"/>
          <w:b/>
          <w:sz w:val="24"/>
        </w:rPr>
        <w:t>Psychology of Sport and Exercise</w:t>
      </w:r>
      <w:r>
        <w:rPr>
          <w:rFonts w:ascii="Times New Roman" w:hAnsi="Times New Roman"/>
          <w:i w:val="0"/>
          <w:sz w:val="24"/>
        </w:rPr>
        <w:t>, v. 42, p. 130-137, 2019. DOI: https://doi.org/10.1016/j.psychsport.2018.12.018.</w:t>
      </w:r>
    </w:p>
    <w:p>
      <w:pPr>
        <w:spacing w:before="0" w:after="120" w:line="240" w:lineRule="auto"/>
        <w:ind w:left="0" w:firstLine="0"/>
        <w:jc w:val="left"/>
      </w:pPr>
      <w:r>
        <w:rPr>
          <w:rFonts w:ascii="Times New Roman" w:hAnsi="Times New Roman"/>
          <w:i w:val="0"/>
          <w:sz w:val="24"/>
        </w:rPr>
        <w:t xml:space="preserve">ELDADI, O.; SHARON-DAVID, H.; TENENBAUM, G. Interpersonal emotions in team sports. </w:t>
      </w:r>
      <w:r>
        <w:rPr>
          <w:rFonts w:ascii="Times New Roman" w:hAnsi="Times New Roman"/>
          <w:b/>
          <w:sz w:val="24"/>
        </w:rPr>
        <w:t>Scientific Journal of Sport and Performance</w:t>
      </w:r>
      <w:r>
        <w:rPr>
          <w:rFonts w:ascii="Times New Roman" w:hAnsi="Times New Roman"/>
          <w:i w:val="0"/>
          <w:sz w:val="24"/>
        </w:rPr>
        <w:t>, v. 2, n. 4, p. 473-491, 2023. DOI: https://doi.org/10.55860/kcdx3917.</w:t>
      </w:r>
    </w:p>
    <w:p>
      <w:pPr>
        <w:spacing w:before="0" w:after="120" w:line="240" w:lineRule="auto"/>
        <w:ind w:left="0" w:firstLine="0"/>
        <w:jc w:val="left"/>
      </w:pPr>
      <w:r>
        <w:rPr>
          <w:rFonts w:ascii="Times New Roman" w:hAnsi="Times New Roman"/>
          <w:i w:val="0"/>
          <w:sz w:val="24"/>
        </w:rPr>
        <w:t xml:space="preserve">ESSID, S. et al. Time-of-day effects in physical performances and psychological responses in young elite male handball players. </w:t>
      </w:r>
      <w:r>
        <w:rPr>
          <w:rFonts w:ascii="Times New Roman" w:hAnsi="Times New Roman"/>
          <w:b/>
          <w:sz w:val="24"/>
        </w:rPr>
        <w:t>Biological Rhythm Research</w:t>
      </w:r>
      <w:r>
        <w:rPr>
          <w:rFonts w:ascii="Times New Roman" w:hAnsi="Times New Roman"/>
          <w:i w:val="0"/>
          <w:sz w:val="24"/>
        </w:rPr>
        <w:t>, v. 53, n. 8, p. 1261-1272, 2022. DOI: https://doi.org/10.1080/09291016.2021.1922212.</w:t>
      </w:r>
    </w:p>
    <w:p>
      <w:pPr>
        <w:spacing w:before="0" w:after="120" w:line="240" w:lineRule="auto"/>
        <w:ind w:left="0" w:firstLine="0"/>
        <w:jc w:val="left"/>
      </w:pPr>
      <w:r>
        <w:rPr>
          <w:rFonts w:ascii="Times New Roman" w:hAnsi="Times New Roman"/>
          <w:i w:val="0"/>
          <w:sz w:val="24"/>
        </w:rPr>
        <w:t>FARZANEGI, P. et al. The effect of winning/losing on profiles of mood states and salivary cortisol concentration in female handball players. Tehran: Islamic Azad University, [2008?]. Disponível em: https://sanad.iau.ir/en/Article/889921. Acesso em: 21 out. 2026.</w:t>
      </w:r>
    </w:p>
    <w:p>
      <w:pPr>
        <w:spacing w:before="0" w:after="120" w:line="240" w:lineRule="auto"/>
        <w:ind w:left="0" w:firstLine="0"/>
        <w:jc w:val="left"/>
      </w:pPr>
      <w:r>
        <w:rPr>
          <w:rFonts w:ascii="Times New Roman" w:hAnsi="Times New Roman"/>
          <w:i w:val="0"/>
          <w:sz w:val="24"/>
        </w:rPr>
        <w:t xml:space="preserve">FERNÁNDEZ-SOTOS, P. et al. Social cognition remediation interventions: A systematic mapping review. </w:t>
      </w:r>
      <w:r>
        <w:rPr>
          <w:rFonts w:ascii="Times New Roman" w:hAnsi="Times New Roman"/>
          <w:b/>
          <w:sz w:val="24"/>
        </w:rPr>
        <w:t>PLOS ONE</w:t>
      </w:r>
      <w:r>
        <w:rPr>
          <w:rFonts w:ascii="Times New Roman" w:hAnsi="Times New Roman"/>
          <w:i w:val="0"/>
          <w:sz w:val="24"/>
        </w:rPr>
        <w:t>, v. 14, n. 6, e0218720, 2019. DOI: https://doi.org/10.1371/journal.pone.0218720.</w:t>
      </w:r>
    </w:p>
    <w:p>
      <w:pPr>
        <w:spacing w:before="0" w:after="120" w:line="240" w:lineRule="auto"/>
        <w:ind w:left="0" w:firstLine="0"/>
        <w:jc w:val="left"/>
      </w:pPr>
      <w:r>
        <w:rPr>
          <w:rFonts w:ascii="Times New Roman" w:hAnsi="Times New Roman"/>
          <w:i w:val="0"/>
          <w:sz w:val="24"/>
        </w:rPr>
        <w:t xml:space="preserve">FESSI, M. S.; MOALLA, W. Postmatch Perceived Exertion, Feeling, and Wellness in Professional Soccer Players. </w:t>
      </w:r>
      <w:r>
        <w:rPr>
          <w:rFonts w:ascii="Times New Roman" w:hAnsi="Times New Roman"/>
          <w:b/>
          <w:sz w:val="24"/>
        </w:rPr>
        <w:t>International Journal of Sports Physiology and Performance</w:t>
      </w:r>
      <w:r>
        <w:rPr>
          <w:rFonts w:ascii="Times New Roman" w:hAnsi="Times New Roman"/>
          <w:i w:val="0"/>
          <w:sz w:val="24"/>
        </w:rPr>
        <w:t>, v. 13, n. 5, p. 631-637, 2018. DOI: https://doi.org/10.1123/ijspp.2017-0725.</w:t>
      </w:r>
    </w:p>
    <w:p>
      <w:pPr>
        <w:spacing w:before="0" w:after="120" w:line="240" w:lineRule="auto"/>
        <w:ind w:left="0" w:firstLine="0"/>
        <w:jc w:val="left"/>
      </w:pPr>
      <w:r>
        <w:rPr>
          <w:rFonts w:ascii="Times New Roman" w:hAnsi="Times New Roman"/>
          <w:i w:val="0"/>
          <w:sz w:val="24"/>
        </w:rPr>
        <w:t xml:space="preserve">GALVÃO, M. C. B.; RICARTE, I. L. M. Revisão sistemática da literatura: conceituação, produção e publicação. </w:t>
      </w:r>
      <w:r>
        <w:rPr>
          <w:rFonts w:ascii="Times New Roman" w:hAnsi="Times New Roman"/>
          <w:b/>
          <w:sz w:val="24"/>
        </w:rPr>
        <w:t>Logeion: Filosofia da Informação</w:t>
      </w:r>
      <w:r>
        <w:rPr>
          <w:rFonts w:ascii="Times New Roman" w:hAnsi="Times New Roman"/>
          <w:i w:val="0"/>
          <w:sz w:val="24"/>
        </w:rPr>
        <w:t>, v. 6, n. 1, p. 57-73, 2019. DOI: https://doi.org/10.21728/logeion.2019v6n1.p57-73.</w:t>
      </w:r>
    </w:p>
    <w:p>
      <w:pPr>
        <w:spacing w:before="0" w:after="120" w:line="240" w:lineRule="auto"/>
        <w:ind w:left="0" w:firstLine="0"/>
        <w:jc w:val="left"/>
      </w:pPr>
      <w:r>
        <w:rPr>
          <w:rFonts w:ascii="Times New Roman" w:hAnsi="Times New Roman"/>
          <w:i w:val="0"/>
          <w:sz w:val="24"/>
        </w:rPr>
        <w:t xml:space="preserve">GARCÍA-CEBERINO, J. M.; FUENTES-GARCÍA, J. P.; VILLAFAINA, S. Impact of Basketball Match on the Pre-Competitive Anxiety and HRV of Youth Female Players. </w:t>
      </w:r>
      <w:r>
        <w:rPr>
          <w:rFonts w:ascii="Times New Roman" w:hAnsi="Times New Roman"/>
          <w:b/>
          <w:sz w:val="24"/>
        </w:rPr>
        <w:t>International Journal of Environmental Research and Public Health</w:t>
      </w:r>
      <w:r>
        <w:rPr>
          <w:rFonts w:ascii="Times New Roman" w:hAnsi="Times New Roman"/>
          <w:i w:val="0"/>
          <w:sz w:val="24"/>
        </w:rPr>
        <w:t>, v. 19, n. 13, e7894, 2022. DOI: https://doi.org/10.3390/ijerph19137894.</w:t>
      </w:r>
    </w:p>
    <w:p>
      <w:pPr>
        <w:spacing w:before="0" w:after="120" w:line="240" w:lineRule="auto"/>
        <w:ind w:left="0" w:firstLine="0"/>
        <w:jc w:val="left"/>
      </w:pPr>
      <w:r>
        <w:rPr>
          <w:rFonts w:ascii="Times New Roman" w:hAnsi="Times New Roman"/>
          <w:i w:val="0"/>
          <w:sz w:val="24"/>
        </w:rPr>
        <w:t xml:space="preserve">GARCÍA-HERRERO, J. A. et al. Analysis of the Relationship between Satisfaction with the Coach and the Effect of Comparative Social Feedback in Elite Female Handball Players. </w:t>
      </w:r>
      <w:r>
        <w:rPr>
          <w:rFonts w:ascii="Times New Roman" w:hAnsi="Times New Roman"/>
          <w:b/>
          <w:sz w:val="24"/>
        </w:rPr>
        <w:t>International Journal of Environmental Research and Public Health</w:t>
      </w:r>
      <w:r>
        <w:rPr>
          <w:rFonts w:ascii="Times New Roman" w:hAnsi="Times New Roman"/>
          <w:i w:val="0"/>
          <w:sz w:val="24"/>
        </w:rPr>
        <w:t>, v. 19, n. 13, e7680, 2022. DOI: https://doi.org/10.3390/ijerph19137680.</w:t>
      </w:r>
    </w:p>
    <w:p>
      <w:pPr>
        <w:spacing w:before="0" w:after="120" w:line="240" w:lineRule="auto"/>
        <w:ind w:left="0" w:firstLine="0"/>
        <w:jc w:val="left"/>
      </w:pPr>
      <w:r>
        <w:rPr>
          <w:rFonts w:ascii="Times New Roman" w:hAnsi="Times New Roman"/>
          <w:i w:val="0"/>
          <w:sz w:val="24"/>
        </w:rPr>
        <w:t xml:space="preserve">GARWOOD, F. (i) Fiducial Limits for the Poisson Distribution. </w:t>
      </w:r>
      <w:r>
        <w:rPr>
          <w:rFonts w:ascii="Times New Roman" w:hAnsi="Times New Roman"/>
          <w:b/>
          <w:sz w:val="24"/>
        </w:rPr>
        <w:t>Biometrika</w:t>
      </w:r>
      <w:r>
        <w:rPr>
          <w:rFonts w:ascii="Times New Roman" w:hAnsi="Times New Roman"/>
          <w:i w:val="0"/>
          <w:sz w:val="24"/>
        </w:rPr>
        <w:t>, v. 28, n. 3-4, p. 437-442, 1936. DOI: https://doi.org/10.1093/biomet/28.3-4.437.</w:t>
      </w:r>
    </w:p>
    <w:p>
      <w:pPr>
        <w:spacing w:before="0" w:after="120" w:line="240" w:lineRule="auto"/>
        <w:ind w:left="0" w:firstLine="0"/>
        <w:jc w:val="left"/>
      </w:pPr>
      <w:r>
        <w:rPr>
          <w:rFonts w:ascii="Times New Roman" w:hAnsi="Times New Roman"/>
          <w:i w:val="0"/>
          <w:sz w:val="24"/>
        </w:rPr>
        <w:t xml:space="preserve">GHAZEL, N. et al. The effect of music on short-term exercise performance during the different menstrual cycle phases in female handball players. </w:t>
      </w:r>
      <w:r>
        <w:rPr>
          <w:rFonts w:ascii="Times New Roman" w:hAnsi="Times New Roman"/>
          <w:b/>
          <w:sz w:val="24"/>
        </w:rPr>
        <w:t>Research in Sports Medicine</w:t>
      </w:r>
      <w:r>
        <w:rPr>
          <w:rFonts w:ascii="Times New Roman" w:hAnsi="Times New Roman"/>
          <w:i w:val="0"/>
          <w:sz w:val="24"/>
        </w:rPr>
        <w:t>, v. 30, n. 1, p. 50-60, 2022. DOI: https://doi.org/10.1080/15438627.2020.1860045.</w:t>
      </w:r>
    </w:p>
    <w:p>
      <w:pPr>
        <w:spacing w:before="0" w:after="120" w:line="240" w:lineRule="auto"/>
        <w:ind w:left="0" w:firstLine="0"/>
        <w:jc w:val="left"/>
      </w:pPr>
      <w:r>
        <w:rPr>
          <w:rFonts w:ascii="Times New Roman" w:hAnsi="Times New Roman"/>
          <w:i w:val="0"/>
          <w:sz w:val="24"/>
        </w:rPr>
        <w:t xml:space="preserve">GREBLO JURAKIĆ, Z.; BOJIĆ-ĆAĆIĆ, L.; LJUBIČIĆ, V. The relationship between perceived motivational climate and psychological well-being among adolescent handball players. </w:t>
      </w:r>
      <w:r>
        <w:rPr>
          <w:rFonts w:ascii="Times New Roman" w:hAnsi="Times New Roman"/>
          <w:b/>
          <w:sz w:val="24"/>
        </w:rPr>
        <w:t>Frontiers in Sports and Active Living</w:t>
      </w:r>
      <w:r>
        <w:rPr>
          <w:rFonts w:ascii="Times New Roman" w:hAnsi="Times New Roman"/>
          <w:i w:val="0"/>
          <w:sz w:val="24"/>
        </w:rPr>
        <w:t>, v. 8, e1827113, 2026. DOI: https://doi.org/10.3389/fspor.2026.1827113.</w:t>
      </w:r>
    </w:p>
    <w:p>
      <w:pPr>
        <w:spacing w:before="0" w:after="120" w:line="240" w:lineRule="auto"/>
        <w:ind w:left="0" w:firstLine="0"/>
        <w:jc w:val="left"/>
      </w:pPr>
      <w:r>
        <w:rPr>
          <w:rFonts w:ascii="Times New Roman" w:hAnsi="Times New Roman"/>
          <w:i w:val="0"/>
          <w:sz w:val="24"/>
        </w:rPr>
        <w:t xml:space="preserve">GÜMÜŞ, H.; GENÇOĞLU, C. The effects of the goalkeeper substitution rule as a new strategy in handball: Analysis of Men's European Handball Championship 2020. </w:t>
      </w:r>
      <w:r>
        <w:rPr>
          <w:rFonts w:ascii="Times New Roman" w:hAnsi="Times New Roman"/>
          <w:b/>
          <w:sz w:val="24"/>
        </w:rPr>
        <w:t>Acta Gymnica</w:t>
      </w:r>
      <w:r>
        <w:rPr>
          <w:rFonts w:ascii="Times New Roman" w:hAnsi="Times New Roman"/>
          <w:i w:val="0"/>
          <w:sz w:val="24"/>
        </w:rPr>
        <w:t>, v. 50, n. 3, p. 113-121, 2020. DOI: https://doi.org/10.5507/ag.2020.015.</w:t>
      </w:r>
    </w:p>
    <w:p>
      <w:pPr>
        <w:spacing w:before="0" w:after="120" w:line="240" w:lineRule="auto"/>
        <w:ind w:left="0" w:firstLine="0"/>
        <w:jc w:val="left"/>
      </w:pPr>
      <w:r>
        <w:rPr>
          <w:rFonts w:ascii="Times New Roman" w:hAnsi="Times New Roman"/>
          <w:i w:val="0"/>
          <w:sz w:val="24"/>
        </w:rPr>
        <w:t xml:space="preserve">GUYATT, G. H. et al. GRADE: an emerging consensus on rating quality of evidence and strength of recommendations. </w:t>
      </w:r>
      <w:r>
        <w:rPr>
          <w:rFonts w:ascii="Times New Roman" w:hAnsi="Times New Roman"/>
          <w:b/>
          <w:sz w:val="24"/>
        </w:rPr>
        <w:t>BMJ</w:t>
      </w:r>
      <w:r>
        <w:rPr>
          <w:rFonts w:ascii="Times New Roman" w:hAnsi="Times New Roman"/>
          <w:i w:val="0"/>
          <w:sz w:val="24"/>
        </w:rPr>
        <w:t>, v. 336, n. 7650, p. 924-926, 2008. DOI: https://doi.org/10.1136/bmj.39489.470347.AD.</w:t>
      </w:r>
    </w:p>
    <w:p>
      <w:pPr>
        <w:spacing w:before="0" w:after="120" w:line="240" w:lineRule="auto"/>
        <w:ind w:left="0" w:firstLine="0"/>
        <w:jc w:val="left"/>
      </w:pPr>
      <w:r>
        <w:rPr>
          <w:rFonts w:ascii="Times New Roman" w:hAnsi="Times New Roman"/>
          <w:i w:val="0"/>
          <w:sz w:val="24"/>
        </w:rPr>
        <w:t xml:space="preserve">GWYTHER, K. et al. Sleep interventions for performance, mood and sleep outcomes in athletes: A systematic review and meta-analysis. </w:t>
      </w:r>
      <w:r>
        <w:rPr>
          <w:rFonts w:ascii="Times New Roman" w:hAnsi="Times New Roman"/>
          <w:b/>
          <w:sz w:val="24"/>
        </w:rPr>
        <w:t>Psychology of Sport and Exercise</w:t>
      </w:r>
      <w:r>
        <w:rPr>
          <w:rFonts w:ascii="Times New Roman" w:hAnsi="Times New Roman"/>
          <w:i w:val="0"/>
          <w:sz w:val="24"/>
        </w:rPr>
        <w:t>, v. 58, e102094, 2022. DOI: https://doi.org/10.1016/j.psychsport.2021.102094.</w:t>
      </w:r>
    </w:p>
    <w:p>
      <w:pPr>
        <w:spacing w:before="0" w:after="120" w:line="240" w:lineRule="auto"/>
        <w:ind w:left="0" w:firstLine="0"/>
        <w:jc w:val="left"/>
      </w:pPr>
      <w:r>
        <w:rPr>
          <w:rFonts w:ascii="Times New Roman" w:hAnsi="Times New Roman"/>
          <w:i w:val="0"/>
          <w:sz w:val="24"/>
        </w:rPr>
        <w:t xml:space="preserve">HAN, C. S. Y.; PARSONS-SMITH, R. L.; TERRY, P. C. Mood Profiling in Singapore: Cross-Cultural Validation and Potential Applications of Mood Profile Clusters. </w:t>
      </w:r>
      <w:r>
        <w:rPr>
          <w:rFonts w:ascii="Times New Roman" w:hAnsi="Times New Roman"/>
          <w:b/>
          <w:sz w:val="24"/>
        </w:rPr>
        <w:t>Frontiers in Psychology</w:t>
      </w:r>
      <w:r>
        <w:rPr>
          <w:rFonts w:ascii="Times New Roman" w:hAnsi="Times New Roman"/>
          <w:i w:val="0"/>
          <w:sz w:val="24"/>
        </w:rPr>
        <w:t>, v. 11, e665, 2020. DOI: https://doi.org/10.3389/fpsyg.2020.00665.</w:t>
      </w:r>
    </w:p>
    <w:p>
      <w:pPr>
        <w:spacing w:before="0" w:after="120" w:line="240" w:lineRule="auto"/>
        <w:ind w:left="0" w:firstLine="0"/>
        <w:jc w:val="left"/>
      </w:pPr>
      <w:r>
        <w:rPr>
          <w:rFonts w:ascii="Times New Roman" w:hAnsi="Times New Roman"/>
          <w:i w:val="0"/>
          <w:sz w:val="24"/>
        </w:rPr>
        <w:t xml:space="preserve">HARDY, C. J.; REJESKI, W. J. Not What, but How One Feels: The Measurement of Affect during Exercise. </w:t>
      </w:r>
      <w:r>
        <w:rPr>
          <w:rFonts w:ascii="Times New Roman" w:hAnsi="Times New Roman"/>
          <w:b/>
          <w:sz w:val="24"/>
        </w:rPr>
        <w:t>Journal of Sport and Exercise Psychology</w:t>
      </w:r>
      <w:r>
        <w:rPr>
          <w:rFonts w:ascii="Times New Roman" w:hAnsi="Times New Roman"/>
          <w:i w:val="0"/>
          <w:sz w:val="24"/>
        </w:rPr>
        <w:t>, v. 11, n. 3, p. 304-317, 1989. DOI: https://doi.org/10.1123/jsep.11.3.304.</w:t>
      </w:r>
    </w:p>
    <w:p>
      <w:pPr>
        <w:spacing w:before="0" w:after="120" w:line="240" w:lineRule="auto"/>
        <w:ind w:left="0" w:firstLine="0"/>
        <w:jc w:val="left"/>
      </w:pPr>
      <w:r>
        <w:rPr>
          <w:rFonts w:ascii="Times New Roman" w:hAnsi="Times New Roman"/>
          <w:i w:val="0"/>
          <w:sz w:val="24"/>
        </w:rPr>
        <w:t xml:space="preserve">HE, X. et al. Effects of music on affective responses to acute exercise: A meta‐analytic review and multilevel meta‐analysis. </w:t>
      </w:r>
      <w:r>
        <w:rPr>
          <w:rFonts w:ascii="Times New Roman" w:hAnsi="Times New Roman"/>
          <w:b/>
          <w:sz w:val="24"/>
        </w:rPr>
        <w:t>Applied Psychology: Health and Well-Being</w:t>
      </w:r>
      <w:r>
        <w:rPr>
          <w:rFonts w:ascii="Times New Roman" w:hAnsi="Times New Roman"/>
          <w:i w:val="0"/>
          <w:sz w:val="24"/>
        </w:rPr>
        <w:t>, v. 17, n. 6, e70092, 2025. DOI: https://doi.org/10.1111/aphw.70092.</w:t>
      </w:r>
    </w:p>
    <w:p>
      <w:pPr>
        <w:spacing w:before="0" w:after="120" w:line="240" w:lineRule="auto"/>
        <w:ind w:left="0" w:firstLine="0"/>
        <w:jc w:val="left"/>
      </w:pPr>
      <w:r>
        <w:rPr>
          <w:rFonts w:ascii="Times New Roman" w:hAnsi="Times New Roman"/>
          <w:i w:val="0"/>
          <w:sz w:val="24"/>
        </w:rPr>
        <w:t xml:space="preserve">HENZE, A.-S. et al. Athlete monitoring in handball (ATHMON HB): a systematic review protocol. </w:t>
      </w:r>
      <w:r>
        <w:rPr>
          <w:rFonts w:ascii="Times New Roman" w:hAnsi="Times New Roman"/>
          <w:b/>
          <w:sz w:val="24"/>
        </w:rPr>
        <w:t>Systematic Reviews</w:t>
      </w:r>
      <w:r>
        <w:rPr>
          <w:rFonts w:ascii="Times New Roman" w:hAnsi="Times New Roman"/>
          <w:i w:val="0"/>
          <w:sz w:val="24"/>
        </w:rPr>
        <w:t>, v. 14, n. 1, e64, 2025. DOI: https://doi.org/10.1186/s13643-025-02806-2.</w:t>
      </w:r>
    </w:p>
    <w:p>
      <w:pPr>
        <w:spacing w:before="0" w:after="120" w:line="240" w:lineRule="auto"/>
        <w:ind w:left="0" w:firstLine="0"/>
        <w:jc w:val="left"/>
      </w:pPr>
      <w:r>
        <w:rPr>
          <w:rFonts w:ascii="Times New Roman" w:hAnsi="Times New Roman"/>
          <w:i w:val="0"/>
          <w:sz w:val="24"/>
        </w:rPr>
        <w:t xml:space="preserve">HENZE, A.-S. et al. Athlete Monitoring in Handball (ATHMON HB): Relationship Between Well-Being and Match Performance in Elite Male Handball Players. </w:t>
      </w:r>
      <w:r>
        <w:rPr>
          <w:rFonts w:ascii="Times New Roman" w:hAnsi="Times New Roman"/>
          <w:b/>
          <w:sz w:val="24"/>
        </w:rPr>
        <w:t>International Journal of Sports Physiology and Performance</w:t>
      </w:r>
      <w:r>
        <w:rPr>
          <w:rFonts w:ascii="Times New Roman" w:hAnsi="Times New Roman"/>
          <w:i w:val="0"/>
          <w:sz w:val="24"/>
        </w:rPr>
        <w:t>, v. 21, n. 3, p. 384-391, 2026. DOI: https://doi.org/10.1123/ijspp.2025-0341.</w:t>
      </w:r>
    </w:p>
    <w:p>
      <w:pPr>
        <w:spacing w:before="0" w:after="120" w:line="240" w:lineRule="auto"/>
        <w:ind w:left="0" w:firstLine="0"/>
        <w:jc w:val="left"/>
      </w:pPr>
      <w:r>
        <w:rPr>
          <w:rFonts w:ascii="Times New Roman" w:hAnsi="Times New Roman"/>
          <w:i w:val="0"/>
          <w:sz w:val="24"/>
        </w:rPr>
        <w:t xml:space="preserve">HINZ, M. et al. Differences in Decision-Making Behavior Between Elite and Amateur Team-Handball Players in a Near-Game Test Situation. </w:t>
      </w:r>
      <w:r>
        <w:rPr>
          <w:rFonts w:ascii="Times New Roman" w:hAnsi="Times New Roman"/>
          <w:b/>
          <w:sz w:val="24"/>
        </w:rPr>
        <w:t>Frontiers in Psychology</w:t>
      </w:r>
      <w:r>
        <w:rPr>
          <w:rFonts w:ascii="Times New Roman" w:hAnsi="Times New Roman"/>
          <w:i w:val="0"/>
          <w:sz w:val="24"/>
        </w:rPr>
        <w:t>, v. 13, e854208, 2022. DOI: https://doi.org/10.3389/fpsyg.2022.854208.</w:t>
      </w:r>
    </w:p>
    <w:p>
      <w:pPr>
        <w:spacing w:before="0" w:after="120" w:line="240" w:lineRule="auto"/>
        <w:ind w:left="0" w:firstLine="0"/>
        <w:jc w:val="left"/>
      </w:pPr>
      <w:r>
        <w:rPr>
          <w:rFonts w:ascii="Times New Roman" w:hAnsi="Times New Roman"/>
          <w:i w:val="0"/>
          <w:sz w:val="24"/>
        </w:rPr>
        <w:t xml:space="preserve">HOPKINS, W. G. et al. Progressive Statistics for Studies in Sports Medicine and Exercise Science. </w:t>
      </w:r>
      <w:r>
        <w:rPr>
          <w:rFonts w:ascii="Times New Roman" w:hAnsi="Times New Roman"/>
          <w:b/>
          <w:sz w:val="24"/>
        </w:rPr>
        <w:t>Medicine &amp; Science in Sports &amp; Exercise</w:t>
      </w:r>
      <w:r>
        <w:rPr>
          <w:rFonts w:ascii="Times New Roman" w:hAnsi="Times New Roman"/>
          <w:i w:val="0"/>
          <w:sz w:val="24"/>
        </w:rPr>
        <w:t>, v. 41, n. 1, p. 3-12, 2009. DOI: https://doi.org/10.1249/mss.0b013e31818cb278.</w:t>
      </w:r>
    </w:p>
    <w:p>
      <w:pPr>
        <w:spacing w:before="0" w:after="120" w:line="240" w:lineRule="auto"/>
        <w:ind w:left="0" w:firstLine="0"/>
        <w:jc w:val="left"/>
      </w:pPr>
      <w:r>
        <w:rPr>
          <w:rFonts w:ascii="Times New Roman" w:hAnsi="Times New Roman"/>
          <w:i w:val="0"/>
          <w:sz w:val="24"/>
        </w:rPr>
        <w:t xml:space="preserve">HU, X.; CHEN, P. Time-of-day effects of acute and regular exercise on sleep quality and mood: a three-level meta-analysis. </w:t>
      </w:r>
      <w:r>
        <w:rPr>
          <w:rFonts w:ascii="Times New Roman" w:hAnsi="Times New Roman"/>
          <w:b/>
          <w:sz w:val="24"/>
        </w:rPr>
        <w:t>Frontiers in Psychology</w:t>
      </w:r>
      <w:r>
        <w:rPr>
          <w:rFonts w:ascii="Times New Roman" w:hAnsi="Times New Roman"/>
          <w:i w:val="0"/>
          <w:sz w:val="24"/>
        </w:rPr>
        <w:t>, v. 17, e1933599, 2026. DOI: https://doi.org/10.3389/fpsyg.2026.1933599.</w:t>
      </w:r>
    </w:p>
    <w:p>
      <w:pPr>
        <w:spacing w:before="0" w:after="120" w:line="240" w:lineRule="auto"/>
        <w:ind w:left="0" w:firstLine="0"/>
        <w:jc w:val="left"/>
      </w:pPr>
      <w:r>
        <w:rPr>
          <w:rFonts w:ascii="Times New Roman" w:hAnsi="Times New Roman"/>
          <w:i w:val="0"/>
          <w:sz w:val="24"/>
        </w:rPr>
        <w:t xml:space="preserve">HYNDMAN, R. J. Moving Averages. In: </w:t>
      </w:r>
      <w:r>
        <w:rPr>
          <w:rFonts w:ascii="Times New Roman" w:hAnsi="Times New Roman"/>
          <w:b/>
          <w:sz w:val="24"/>
        </w:rPr>
        <w:t>International Encyclopedia of Statistical Science</w:t>
      </w:r>
      <w:r>
        <w:rPr>
          <w:rFonts w:ascii="Times New Roman" w:hAnsi="Times New Roman"/>
          <w:i w:val="0"/>
          <w:sz w:val="24"/>
        </w:rPr>
        <w:t>. [S. l.]: Springer Berlin Heidelberg, 2011. p. 866-869. DOI: https://doi.org/10.1007/978-3-642-04898-2_380.</w:t>
      </w:r>
    </w:p>
    <w:p>
      <w:pPr>
        <w:spacing w:before="0" w:after="120" w:line="240" w:lineRule="auto"/>
        <w:ind w:left="0" w:firstLine="0"/>
        <w:jc w:val="left"/>
      </w:pPr>
      <w:r>
        <w:rPr>
          <w:rFonts w:ascii="Times New Roman" w:hAnsi="Times New Roman"/>
          <w:i w:val="0"/>
          <w:sz w:val="24"/>
        </w:rPr>
        <w:t xml:space="preserve">IVANOVIĆ, M.; IVANOVIĆ, U. Influence of health status and loneliness on satisfaction with life, emotional dimensions, and distress in junior handball players. </w:t>
      </w:r>
      <w:r>
        <w:rPr>
          <w:rFonts w:ascii="Times New Roman" w:hAnsi="Times New Roman"/>
          <w:b/>
          <w:sz w:val="24"/>
        </w:rPr>
        <w:t>Exercise and Quality of Life</w:t>
      </w:r>
      <w:r>
        <w:rPr>
          <w:rFonts w:ascii="Times New Roman" w:hAnsi="Times New Roman"/>
          <w:i w:val="0"/>
          <w:sz w:val="24"/>
        </w:rPr>
        <w:t>, v. 15, n. 1, p. 27-35, 2023. DOI: https://doi.org/10.31382/eqol.230604.</w:t>
      </w:r>
    </w:p>
    <w:p>
      <w:pPr>
        <w:spacing w:before="0" w:after="120" w:line="240" w:lineRule="auto"/>
        <w:ind w:left="0" w:firstLine="0"/>
        <w:jc w:val="left"/>
      </w:pPr>
      <w:r>
        <w:rPr>
          <w:rFonts w:ascii="Times New Roman" w:hAnsi="Times New Roman"/>
          <w:i w:val="0"/>
          <w:sz w:val="24"/>
        </w:rPr>
        <w:t xml:space="preserve">JEFFRIES, A. C. et al. Athlete-Reported Outcome Measures for Monitoring Training Responses: A Systematic Review of Risk of Bias and Measurement Property Quality According to the COSMIN Guidelines. </w:t>
      </w:r>
      <w:r>
        <w:rPr>
          <w:rFonts w:ascii="Times New Roman" w:hAnsi="Times New Roman"/>
          <w:b/>
          <w:sz w:val="24"/>
        </w:rPr>
        <w:t>International Journal of Sports Physiology and Performance</w:t>
      </w:r>
      <w:r>
        <w:rPr>
          <w:rFonts w:ascii="Times New Roman" w:hAnsi="Times New Roman"/>
          <w:i w:val="0"/>
          <w:sz w:val="24"/>
        </w:rPr>
        <w:t>, v. 15, n. 9, p. 1203-1215, 2020. DOI: https://doi.org/10.1123/ijspp.2020-0386.</w:t>
      </w:r>
    </w:p>
    <w:p>
      <w:pPr>
        <w:spacing w:before="0" w:after="120" w:line="240" w:lineRule="auto"/>
        <w:ind w:left="0" w:firstLine="0"/>
        <w:jc w:val="left"/>
      </w:pPr>
      <w:r>
        <w:rPr>
          <w:rFonts w:ascii="Times New Roman" w:hAnsi="Times New Roman"/>
          <w:i w:val="0"/>
          <w:sz w:val="24"/>
        </w:rPr>
        <w:t xml:space="preserve">JETZKE, M.; WINTER, C. Do we need a more flexible use of Team Timeout calling? Evidence from the Handball Bundesliga. </w:t>
      </w:r>
      <w:r>
        <w:rPr>
          <w:rFonts w:ascii="Times New Roman" w:hAnsi="Times New Roman"/>
          <w:b/>
          <w:sz w:val="24"/>
        </w:rPr>
        <w:t>Journal of Sports Sciences</w:t>
      </w:r>
      <w:r>
        <w:rPr>
          <w:rFonts w:ascii="Times New Roman" w:hAnsi="Times New Roman"/>
          <w:i w:val="0"/>
          <w:sz w:val="24"/>
        </w:rPr>
        <w:t>, v. 40, n. 8, p. 878-885, 2022. DOI: https://doi.org/10.1080/02640414.2021.2022860.</w:t>
      </w:r>
    </w:p>
    <w:p>
      <w:pPr>
        <w:spacing w:before="0" w:after="120" w:line="240" w:lineRule="auto"/>
        <w:ind w:left="0" w:firstLine="0"/>
        <w:jc w:val="left"/>
      </w:pPr>
      <w:r>
        <w:rPr>
          <w:rFonts w:ascii="Times New Roman" w:hAnsi="Times New Roman"/>
          <w:i w:val="0"/>
          <w:sz w:val="24"/>
        </w:rPr>
        <w:t xml:space="preserve">JIA, L. et al. The Effect of the COVID-19 Pandemic on the Mental and Emotional Health of Athletes: A Systematic Review. </w:t>
      </w:r>
      <w:r>
        <w:rPr>
          <w:rFonts w:ascii="Times New Roman" w:hAnsi="Times New Roman"/>
          <w:b/>
          <w:sz w:val="24"/>
        </w:rPr>
        <w:t>The American Journal of Sports Medicine</w:t>
      </w:r>
      <w:r>
        <w:rPr>
          <w:rFonts w:ascii="Times New Roman" w:hAnsi="Times New Roman"/>
          <w:i w:val="0"/>
          <w:sz w:val="24"/>
        </w:rPr>
        <w:t>, v. 51, n. 8, p. 2207-2215, 2023. DOI: https://doi.org/10.1177/03635465221087473.</w:t>
      </w:r>
    </w:p>
    <w:p>
      <w:pPr>
        <w:spacing w:before="0" w:after="120" w:line="240" w:lineRule="auto"/>
        <w:ind w:left="0" w:firstLine="0"/>
        <w:jc w:val="left"/>
      </w:pPr>
      <w:r>
        <w:rPr>
          <w:rFonts w:ascii="Times New Roman" w:hAnsi="Times New Roman"/>
          <w:i w:val="0"/>
          <w:sz w:val="24"/>
        </w:rPr>
        <w:t xml:space="preserve">JODRA, P. et al. Effects of caffeine supplementation on physical performance and mood dimensions in elite and trained-recreational athletes. </w:t>
      </w:r>
      <w:r>
        <w:rPr>
          <w:rFonts w:ascii="Times New Roman" w:hAnsi="Times New Roman"/>
          <w:b/>
          <w:sz w:val="24"/>
        </w:rPr>
        <w:t>Journal of the International Society of Sports Nutrition</w:t>
      </w:r>
      <w:r>
        <w:rPr>
          <w:rFonts w:ascii="Times New Roman" w:hAnsi="Times New Roman"/>
          <w:i w:val="0"/>
          <w:sz w:val="24"/>
        </w:rPr>
        <w:t>, v. 17, n. 1, e2, 2020. DOI: https://doi.org/10.1186/s12970-019-0332-5.</w:t>
      </w:r>
    </w:p>
    <w:p>
      <w:pPr>
        <w:spacing w:before="0" w:after="120" w:line="240" w:lineRule="auto"/>
        <w:ind w:left="0" w:firstLine="0"/>
        <w:jc w:val="left"/>
      </w:pPr>
      <w:r>
        <w:rPr>
          <w:rFonts w:ascii="Times New Roman" w:hAnsi="Times New Roman"/>
          <w:i w:val="0"/>
          <w:sz w:val="24"/>
        </w:rPr>
        <w:t xml:space="preserve">KAMARAUSKAS, P. et al. Weekly Fluctuations in, and Associations Between, Salivary Hormone Responses, Load, and Well-Being During the Pre-season in Professional Male Basketball Players. </w:t>
      </w:r>
      <w:r>
        <w:rPr>
          <w:rFonts w:ascii="Times New Roman" w:hAnsi="Times New Roman"/>
          <w:b/>
          <w:sz w:val="24"/>
        </w:rPr>
        <w:t>Journal of Strength &amp; Conditioning Research</w:t>
      </w:r>
      <w:r>
        <w:rPr>
          <w:rFonts w:ascii="Times New Roman" w:hAnsi="Times New Roman"/>
          <w:i w:val="0"/>
          <w:sz w:val="24"/>
        </w:rPr>
        <w:t>, v. 38, n. 1, p. 128-135, 2024. DOI: https://doi.org/10.1519/jsc.0000000000004589.</w:t>
      </w:r>
    </w:p>
    <w:p>
      <w:pPr>
        <w:spacing w:before="0" w:after="120" w:line="240" w:lineRule="auto"/>
        <w:ind w:left="0" w:firstLine="0"/>
        <w:jc w:val="left"/>
      </w:pPr>
      <w:r>
        <w:rPr>
          <w:rFonts w:ascii="Times New Roman" w:hAnsi="Times New Roman"/>
          <w:i w:val="0"/>
          <w:sz w:val="24"/>
        </w:rPr>
        <w:t xml:space="preserve">KARADEMIR, M. B. et al. Relationships among athletes’ challenge and threat perceptions, mindfulness, and anxiety. </w:t>
      </w:r>
      <w:r>
        <w:rPr>
          <w:rFonts w:ascii="Times New Roman" w:hAnsi="Times New Roman"/>
          <w:b/>
          <w:sz w:val="24"/>
        </w:rPr>
        <w:t>Frontiers in Psychology</w:t>
      </w:r>
      <w:r>
        <w:rPr>
          <w:rFonts w:ascii="Times New Roman" w:hAnsi="Times New Roman"/>
          <w:i w:val="0"/>
          <w:sz w:val="24"/>
        </w:rPr>
        <w:t>, v. 17, e1811878, 2026. DOI: https://doi.org/10.3389/fpsyg.2026.1811878.</w:t>
      </w:r>
    </w:p>
    <w:p>
      <w:pPr>
        <w:spacing w:before="0" w:after="120" w:line="240" w:lineRule="auto"/>
        <w:ind w:left="0" w:firstLine="0"/>
        <w:jc w:val="left"/>
      </w:pPr>
      <w:r>
        <w:rPr>
          <w:rFonts w:ascii="Times New Roman" w:hAnsi="Times New Roman"/>
          <w:i w:val="0"/>
          <w:sz w:val="24"/>
        </w:rPr>
        <w:t xml:space="preserve">KELLMANN, M. et al. Recovery and Performance in Sport: Consensus Statement. </w:t>
      </w:r>
      <w:r>
        <w:rPr>
          <w:rFonts w:ascii="Times New Roman" w:hAnsi="Times New Roman"/>
          <w:b/>
          <w:sz w:val="24"/>
        </w:rPr>
        <w:t>International Journal of Sports Physiology and Performance</w:t>
      </w:r>
      <w:r>
        <w:rPr>
          <w:rFonts w:ascii="Times New Roman" w:hAnsi="Times New Roman"/>
          <w:i w:val="0"/>
          <w:sz w:val="24"/>
        </w:rPr>
        <w:t>, v. 13, n. 2, p. 240-245, 2018. DOI: https://doi.org/10.1123/ijspp.2017-0759.</w:t>
      </w:r>
    </w:p>
    <w:p>
      <w:pPr>
        <w:spacing w:before="0" w:after="120" w:line="240" w:lineRule="auto"/>
        <w:ind w:left="0" w:firstLine="0"/>
        <w:jc w:val="left"/>
      </w:pPr>
      <w:r>
        <w:rPr>
          <w:rFonts w:ascii="Times New Roman" w:hAnsi="Times New Roman"/>
          <w:i w:val="0"/>
          <w:sz w:val="24"/>
        </w:rPr>
        <w:t xml:space="preserve">KEW, M. E. et al. Sex Differences in Mental Health Symptoms in Elite Athletes: A Systematic Review and Meta-analysis. </w:t>
      </w:r>
      <w:r>
        <w:rPr>
          <w:rFonts w:ascii="Times New Roman" w:hAnsi="Times New Roman"/>
          <w:b/>
          <w:sz w:val="24"/>
        </w:rPr>
        <w:t>Sports Health: A Multidisciplinary Approach</w:t>
      </w:r>
      <w:r>
        <w:rPr>
          <w:rFonts w:ascii="Times New Roman" w:hAnsi="Times New Roman"/>
          <w:i w:val="0"/>
          <w:sz w:val="24"/>
        </w:rPr>
        <w:t>, v. 17, n. 4, p. 732-743, 2025. DOI: https://doi.org/10.1177/19417381241264491.</w:t>
      </w:r>
    </w:p>
    <w:p>
      <w:pPr>
        <w:spacing w:before="0" w:after="120" w:line="240" w:lineRule="auto"/>
        <w:ind w:left="0" w:firstLine="0"/>
        <w:jc w:val="left"/>
      </w:pPr>
      <w:r>
        <w:rPr>
          <w:rFonts w:ascii="Times New Roman" w:hAnsi="Times New Roman"/>
          <w:i w:val="0"/>
          <w:sz w:val="24"/>
        </w:rPr>
        <w:t xml:space="preserve">KHAZDOZI, G.; BAHARI, S. M.; ASHAYERI, H. Effects of Warming up with Music on Moods and Training Motivation among Athletes. </w:t>
      </w:r>
      <w:r>
        <w:rPr>
          <w:rFonts w:ascii="Times New Roman" w:hAnsi="Times New Roman"/>
          <w:b/>
          <w:sz w:val="24"/>
        </w:rPr>
        <w:t>Journal of History Culture and Art Research</w:t>
      </w:r>
      <w:r>
        <w:rPr>
          <w:rFonts w:ascii="Times New Roman" w:hAnsi="Times New Roman"/>
          <w:i w:val="0"/>
          <w:sz w:val="24"/>
        </w:rPr>
        <w:t>, v. 6, n. 1, e169, 2017. DOI: https://doi.org/10.7596/taksad.v6i1.713.</w:t>
      </w:r>
    </w:p>
    <w:p>
      <w:pPr>
        <w:spacing w:before="0" w:after="120" w:line="240" w:lineRule="auto"/>
        <w:ind w:left="0" w:firstLine="0"/>
        <w:jc w:val="left"/>
      </w:pPr>
      <w:r>
        <w:rPr>
          <w:rFonts w:ascii="Times New Roman" w:hAnsi="Times New Roman"/>
          <w:i w:val="0"/>
          <w:sz w:val="24"/>
        </w:rPr>
        <w:t xml:space="preserve">KUO, L.-T. et al. Exploring mental health symptoms in elite athletes during the COVID-19 pandemic: A systematic review and meta-analysis on sex differences. </w:t>
      </w:r>
      <w:r>
        <w:rPr>
          <w:rFonts w:ascii="Times New Roman" w:hAnsi="Times New Roman"/>
          <w:b/>
          <w:sz w:val="24"/>
        </w:rPr>
        <w:t>PLOS ONE</w:t>
      </w:r>
      <w:r>
        <w:rPr>
          <w:rFonts w:ascii="Times New Roman" w:hAnsi="Times New Roman"/>
          <w:i w:val="0"/>
          <w:sz w:val="24"/>
        </w:rPr>
        <w:t>, v. 20, n. 1, e0314996, 2025. DOI: https://doi.org/10.1371/journal.pone.0314996.</w:t>
      </w:r>
    </w:p>
    <w:p>
      <w:pPr>
        <w:spacing w:before="0" w:after="120" w:line="240" w:lineRule="auto"/>
        <w:ind w:left="0" w:firstLine="0"/>
        <w:jc w:val="left"/>
      </w:pPr>
      <w:r>
        <w:rPr>
          <w:rFonts w:ascii="Times New Roman" w:hAnsi="Times New Roman"/>
          <w:i w:val="0"/>
          <w:sz w:val="24"/>
        </w:rPr>
        <w:t xml:space="preserve">LAGNER, P. et al. Mood effects on memory and executive control in a real-life situation. </w:t>
      </w:r>
      <w:r>
        <w:rPr>
          <w:rFonts w:ascii="Times New Roman" w:hAnsi="Times New Roman"/>
          <w:b/>
          <w:sz w:val="24"/>
        </w:rPr>
        <w:t>Cognition and Emotion</w:t>
      </w:r>
      <w:r>
        <w:rPr>
          <w:rFonts w:ascii="Times New Roman" w:hAnsi="Times New Roman"/>
          <w:i w:val="0"/>
          <w:sz w:val="24"/>
        </w:rPr>
        <w:t>, v. 29, n. 6, p. 1107-1116, 2015. DOI: https://doi.org/10.1080/02699931.2014.962486.</w:t>
      </w:r>
    </w:p>
    <w:p>
      <w:pPr>
        <w:spacing w:before="0" w:after="120" w:line="240" w:lineRule="auto"/>
        <w:ind w:left="0" w:firstLine="0"/>
        <w:jc w:val="left"/>
      </w:pPr>
      <w:r>
        <w:rPr>
          <w:rFonts w:ascii="Times New Roman" w:hAnsi="Times New Roman"/>
          <w:i w:val="0"/>
          <w:sz w:val="24"/>
        </w:rPr>
        <w:t xml:space="preserve">LAKICEVIC, N. et al. Rapid weight loss and mood states in judo athletes: A systematic review. </w:t>
      </w:r>
      <w:r>
        <w:rPr>
          <w:rFonts w:ascii="Times New Roman" w:hAnsi="Times New Roman"/>
          <w:b/>
          <w:sz w:val="24"/>
        </w:rPr>
        <w:t>European Review of Applied Psychology</w:t>
      </w:r>
      <w:r>
        <w:rPr>
          <w:rFonts w:ascii="Times New Roman" w:hAnsi="Times New Roman"/>
          <w:i w:val="0"/>
          <w:sz w:val="24"/>
        </w:rPr>
        <w:t>, v. 74, n. 4, e100933, 2024. DOI: https://doi.org/10.1016/j.erap.2023.100933.</w:t>
      </w:r>
    </w:p>
    <w:p>
      <w:pPr>
        <w:spacing w:before="0" w:after="120" w:line="240" w:lineRule="auto"/>
        <w:ind w:left="0" w:firstLine="0"/>
        <w:jc w:val="left"/>
      </w:pPr>
      <w:r>
        <w:rPr>
          <w:rFonts w:ascii="Times New Roman" w:hAnsi="Times New Roman"/>
          <w:i w:val="0"/>
          <w:sz w:val="24"/>
        </w:rPr>
        <w:t xml:space="preserve">LANDIS, J. R.; KOCH, G. G. The Measurement of Observer Agreement for Categorical Data. </w:t>
      </w:r>
      <w:r>
        <w:rPr>
          <w:rFonts w:ascii="Times New Roman" w:hAnsi="Times New Roman"/>
          <w:b/>
          <w:sz w:val="24"/>
        </w:rPr>
        <w:t>Biometrics</w:t>
      </w:r>
      <w:r>
        <w:rPr>
          <w:rFonts w:ascii="Times New Roman" w:hAnsi="Times New Roman"/>
          <w:i w:val="0"/>
          <w:sz w:val="24"/>
        </w:rPr>
        <w:t>, v. 33, n. 1, e159, 1977. DOI: https://doi.org/10.2307/2529310.</w:t>
      </w:r>
    </w:p>
    <w:p>
      <w:pPr>
        <w:spacing w:before="0" w:after="120" w:line="240" w:lineRule="auto"/>
        <w:ind w:left="0" w:firstLine="0"/>
        <w:jc w:val="left"/>
      </w:pPr>
      <w:r>
        <w:rPr>
          <w:rFonts w:ascii="Times New Roman" w:hAnsi="Times New Roman"/>
          <w:i w:val="0"/>
          <w:sz w:val="24"/>
        </w:rPr>
        <w:t xml:space="preserve">LANE, A. M.; TERRY, P. C. The Nature of Mood: Development of a Conceptual Model with a Focus on Depression. </w:t>
      </w:r>
      <w:r>
        <w:rPr>
          <w:rFonts w:ascii="Times New Roman" w:hAnsi="Times New Roman"/>
          <w:b/>
          <w:sz w:val="24"/>
        </w:rPr>
        <w:t>Journal of Applied Sport Psychology</w:t>
      </w:r>
      <w:r>
        <w:rPr>
          <w:rFonts w:ascii="Times New Roman" w:hAnsi="Times New Roman"/>
          <w:i w:val="0"/>
          <w:sz w:val="24"/>
        </w:rPr>
        <w:t>, v. 12, n. 1, p. 16-33, 2000. DOI: https://doi.org/10.1080/10413200008404211.</w:t>
      </w:r>
    </w:p>
    <w:p>
      <w:pPr>
        <w:spacing w:before="0" w:after="120" w:line="240" w:lineRule="auto"/>
        <w:ind w:left="0" w:firstLine="0"/>
        <w:jc w:val="left"/>
      </w:pPr>
      <w:r>
        <w:rPr>
          <w:rFonts w:ascii="Times New Roman" w:hAnsi="Times New Roman"/>
          <w:i w:val="0"/>
          <w:sz w:val="24"/>
        </w:rPr>
        <w:t xml:space="preserve">LAZARUS, R. S. How Emotions Influence Performance in Competitive Sports. </w:t>
      </w:r>
      <w:r>
        <w:rPr>
          <w:rFonts w:ascii="Times New Roman" w:hAnsi="Times New Roman"/>
          <w:b/>
          <w:sz w:val="24"/>
        </w:rPr>
        <w:t>The Sport Psychologist</w:t>
      </w:r>
      <w:r>
        <w:rPr>
          <w:rFonts w:ascii="Times New Roman" w:hAnsi="Times New Roman"/>
          <w:i w:val="0"/>
          <w:sz w:val="24"/>
        </w:rPr>
        <w:t>, v. 14, n. 3, p. 229-252, 2000. DOI: https://doi.org/10.1123/tsp.14.3.229.</w:t>
      </w:r>
    </w:p>
    <w:p>
      <w:pPr>
        <w:spacing w:before="0" w:after="120" w:line="240" w:lineRule="auto"/>
        <w:ind w:left="0" w:firstLine="0"/>
        <w:jc w:val="left"/>
      </w:pPr>
      <w:r>
        <w:rPr>
          <w:rFonts w:ascii="Times New Roman" w:hAnsi="Times New Roman"/>
          <w:i w:val="0"/>
          <w:sz w:val="24"/>
        </w:rPr>
        <w:t xml:space="preserve">LI, J.; LU, J.; FANG, D. The impact of mindfulness intervention on emotion regulation in athletes: a meta-analysis. </w:t>
      </w:r>
      <w:r>
        <w:rPr>
          <w:rFonts w:ascii="Times New Roman" w:hAnsi="Times New Roman"/>
          <w:b/>
          <w:sz w:val="24"/>
        </w:rPr>
        <w:t>Frontiers in Psychology</w:t>
      </w:r>
      <w:r>
        <w:rPr>
          <w:rFonts w:ascii="Times New Roman" w:hAnsi="Times New Roman"/>
          <w:i w:val="0"/>
          <w:sz w:val="24"/>
        </w:rPr>
        <w:t>, v. 17, e1875000, 2026. DOI: https://doi.org/10.3389/fpsyg.2026.1875000.</w:t>
      </w:r>
    </w:p>
    <w:p>
      <w:pPr>
        <w:spacing w:before="0" w:after="120" w:line="240" w:lineRule="auto"/>
        <w:ind w:left="0" w:firstLine="0"/>
        <w:jc w:val="left"/>
      </w:pPr>
      <w:r>
        <w:rPr>
          <w:rFonts w:ascii="Times New Roman" w:hAnsi="Times New Roman"/>
          <w:i w:val="0"/>
          <w:sz w:val="24"/>
        </w:rPr>
        <w:t xml:space="preserve">LISENCHUK, G. et al. Analysis of psychological state of qualified female handball players depending on the phase of the ovarian-menstrual cycle. </w:t>
      </w:r>
      <w:r>
        <w:rPr>
          <w:rFonts w:ascii="Times New Roman" w:hAnsi="Times New Roman"/>
          <w:b/>
          <w:sz w:val="24"/>
        </w:rPr>
        <w:t>Journal of Physical Education and Sport</w:t>
      </w:r>
      <w:r>
        <w:rPr>
          <w:rFonts w:ascii="Times New Roman" w:hAnsi="Times New Roman"/>
          <w:i w:val="0"/>
          <w:sz w:val="24"/>
        </w:rPr>
        <w:t>, v. 19, supl. 3, art. 115, p. 808-812, 2019. DOI: https://doi.org/10.7752/jpes.2019.s3115.</w:t>
      </w:r>
    </w:p>
    <w:p>
      <w:pPr>
        <w:spacing w:before="0" w:after="120" w:line="240" w:lineRule="auto"/>
        <w:ind w:left="0" w:firstLine="0"/>
        <w:jc w:val="left"/>
      </w:pPr>
      <w:r>
        <w:rPr>
          <w:rFonts w:ascii="Times New Roman" w:hAnsi="Times New Roman"/>
          <w:i w:val="0"/>
          <w:sz w:val="24"/>
        </w:rPr>
        <w:t xml:space="preserve">LO, M. et al. The impact of matches and travel on rugby players’ sleep, wellness and training. </w:t>
      </w:r>
      <w:r>
        <w:rPr>
          <w:rFonts w:ascii="Times New Roman" w:hAnsi="Times New Roman"/>
          <w:b/>
          <w:sz w:val="24"/>
        </w:rPr>
        <w:t>PLOS ONE</w:t>
      </w:r>
      <w:r>
        <w:rPr>
          <w:rFonts w:ascii="Times New Roman" w:hAnsi="Times New Roman"/>
          <w:i w:val="0"/>
          <w:sz w:val="24"/>
        </w:rPr>
        <w:t>, v. 17, n. 2, e0261517, 2022. DOI: https://doi.org/10.1371/journal.pone.0261517.</w:t>
      </w:r>
    </w:p>
    <w:p>
      <w:pPr>
        <w:spacing w:before="0" w:after="120" w:line="240" w:lineRule="auto"/>
        <w:ind w:left="0" w:firstLine="0"/>
        <w:jc w:val="left"/>
      </w:pPr>
      <w:r>
        <w:rPr>
          <w:rFonts w:ascii="Times New Roman" w:hAnsi="Times New Roman"/>
          <w:i w:val="0"/>
          <w:sz w:val="24"/>
        </w:rPr>
        <w:t xml:space="preserve">LOCHBAUM, M. et al. Sport psychology and performance meta-analyses: A systematic review of the literature. </w:t>
      </w:r>
      <w:r>
        <w:rPr>
          <w:rFonts w:ascii="Times New Roman" w:hAnsi="Times New Roman"/>
          <w:b/>
          <w:sz w:val="24"/>
        </w:rPr>
        <w:t>PLOS ONE</w:t>
      </w:r>
      <w:r>
        <w:rPr>
          <w:rFonts w:ascii="Times New Roman" w:hAnsi="Times New Roman"/>
          <w:i w:val="0"/>
          <w:sz w:val="24"/>
        </w:rPr>
        <w:t>, v. 17, n. 2, e0263408, 2022. DOI: https://doi.org/10.1371/journal.pone.0263408.</w:t>
      </w:r>
    </w:p>
    <w:p>
      <w:pPr>
        <w:spacing w:before="0" w:after="120" w:line="240" w:lineRule="auto"/>
        <w:ind w:left="0" w:firstLine="0"/>
        <w:jc w:val="left"/>
      </w:pPr>
      <w:r>
        <w:rPr>
          <w:rFonts w:ascii="Times New Roman" w:hAnsi="Times New Roman"/>
          <w:i w:val="0"/>
          <w:sz w:val="24"/>
        </w:rPr>
        <w:t xml:space="preserve">LOCHBAUM, M. et al. The Profile of Moods States and Athletic Performance: A Meta-Analysis of Published Studies. </w:t>
      </w:r>
      <w:r>
        <w:rPr>
          <w:rFonts w:ascii="Times New Roman" w:hAnsi="Times New Roman"/>
          <w:b/>
          <w:sz w:val="24"/>
        </w:rPr>
        <w:t>European Journal of Investigation in Health, Psychology and Education</w:t>
      </w:r>
      <w:r>
        <w:rPr>
          <w:rFonts w:ascii="Times New Roman" w:hAnsi="Times New Roman"/>
          <w:i w:val="0"/>
          <w:sz w:val="24"/>
        </w:rPr>
        <w:t>, v. 11, n. 1, p. 50-70, 2021. DOI: https://doi.org/10.3390/ejihpe11010005.</w:t>
      </w:r>
    </w:p>
    <w:p>
      <w:pPr>
        <w:spacing w:before="0" w:after="120" w:line="240" w:lineRule="auto"/>
        <w:ind w:left="0" w:firstLine="0"/>
        <w:jc w:val="left"/>
      </w:pPr>
      <w:r>
        <w:rPr>
          <w:rFonts w:ascii="Times New Roman" w:hAnsi="Times New Roman"/>
          <w:i w:val="0"/>
          <w:sz w:val="24"/>
        </w:rPr>
        <w:t xml:space="preserve">LOCHBAUM, M.; SISNEROS, C. A Systematic Review with a Meta-Analysis of the Motivational Climate and Hedonic Well-Being Constructs: The Importance of the Athlete Level. </w:t>
      </w:r>
      <w:r>
        <w:rPr>
          <w:rFonts w:ascii="Times New Roman" w:hAnsi="Times New Roman"/>
          <w:b/>
          <w:sz w:val="24"/>
        </w:rPr>
        <w:t>European Journal of Investigation in Health, Psychology and Education</w:t>
      </w:r>
      <w:r>
        <w:rPr>
          <w:rFonts w:ascii="Times New Roman" w:hAnsi="Times New Roman"/>
          <w:i w:val="0"/>
          <w:sz w:val="24"/>
        </w:rPr>
        <w:t>, v. 14, n. 4, p. 976-1001, 2024. DOI: https://doi.org/10.3390/ejihpe14040064.</w:t>
      </w:r>
    </w:p>
    <w:p>
      <w:pPr>
        <w:spacing w:before="0" w:after="120" w:line="240" w:lineRule="auto"/>
        <w:ind w:left="0" w:firstLine="0"/>
        <w:jc w:val="left"/>
      </w:pPr>
      <w:r>
        <w:rPr>
          <w:rFonts w:ascii="Times New Roman" w:hAnsi="Times New Roman"/>
          <w:i w:val="0"/>
          <w:sz w:val="24"/>
        </w:rPr>
        <w:t xml:space="preserve">LUJIC, M.; PRSKALO, I.; BRATKO, D. difference in well-being between handball players and ones not physically active. </w:t>
      </w:r>
      <w:r>
        <w:rPr>
          <w:rFonts w:ascii="Times New Roman" w:hAnsi="Times New Roman"/>
          <w:b/>
          <w:sz w:val="24"/>
        </w:rPr>
        <w:t>Scientific Journal of Sport and Performance</w:t>
      </w:r>
      <w:r>
        <w:rPr>
          <w:rFonts w:ascii="Times New Roman" w:hAnsi="Times New Roman"/>
          <w:i w:val="0"/>
          <w:sz w:val="24"/>
        </w:rPr>
        <w:t>, v. 2, n. 2, p. 144-150, 2023. DOI: https://doi.org/10.55860/fhsl7752.</w:t>
      </w:r>
    </w:p>
    <w:p>
      <w:pPr>
        <w:spacing w:before="0" w:after="120" w:line="240" w:lineRule="auto"/>
        <w:ind w:left="0" w:firstLine="0"/>
        <w:jc w:val="left"/>
      </w:pPr>
      <w:r>
        <w:rPr>
          <w:rFonts w:ascii="Times New Roman" w:hAnsi="Times New Roman"/>
          <w:i w:val="0"/>
          <w:sz w:val="24"/>
        </w:rPr>
        <w:t xml:space="preserve">LUO, J. et al. The relationship between social support and mental health in athletes: a systematic review and meta-analysis. </w:t>
      </w:r>
      <w:r>
        <w:rPr>
          <w:rFonts w:ascii="Times New Roman" w:hAnsi="Times New Roman"/>
          <w:b/>
          <w:sz w:val="24"/>
        </w:rPr>
        <w:t>Frontiers in Psychology</w:t>
      </w:r>
      <w:r>
        <w:rPr>
          <w:rFonts w:ascii="Times New Roman" w:hAnsi="Times New Roman"/>
          <w:i w:val="0"/>
          <w:sz w:val="24"/>
        </w:rPr>
        <w:t>, v. 16, e1642886, 2025. DOI: https://doi.org/10.3389/fpsyg.2025.1642886.</w:t>
      </w:r>
    </w:p>
    <w:p>
      <w:pPr>
        <w:spacing w:before="0" w:after="120" w:line="240" w:lineRule="auto"/>
        <w:ind w:left="0" w:firstLine="0"/>
        <w:jc w:val="left"/>
      </w:pPr>
      <w:r>
        <w:rPr>
          <w:rFonts w:ascii="Times New Roman" w:hAnsi="Times New Roman"/>
          <w:i w:val="0"/>
          <w:sz w:val="24"/>
        </w:rPr>
        <w:t xml:space="preserve">LUOJUMÄKI, R. J. et al. Exploring Mood Profile Clusters Across Physical Activity Level, Gender and Age in a Finnish Population. </w:t>
      </w:r>
      <w:r>
        <w:rPr>
          <w:rFonts w:ascii="Times New Roman" w:hAnsi="Times New Roman"/>
          <w:b/>
          <w:sz w:val="24"/>
        </w:rPr>
        <w:t>European Journal of Sport Science</w:t>
      </w:r>
      <w:r>
        <w:rPr>
          <w:rFonts w:ascii="Times New Roman" w:hAnsi="Times New Roman"/>
          <w:i w:val="0"/>
          <w:sz w:val="24"/>
        </w:rPr>
        <w:t>, v. 26, n. 2, e70131, 2026. DOI: https://doi.org/10.1002/ejsc.70131.</w:t>
      </w:r>
    </w:p>
    <w:p>
      <w:pPr>
        <w:spacing w:before="0" w:after="120" w:line="240" w:lineRule="auto"/>
        <w:ind w:left="0" w:firstLine="0"/>
        <w:jc w:val="left"/>
      </w:pPr>
      <w:r>
        <w:rPr>
          <w:rFonts w:ascii="Times New Roman" w:hAnsi="Times New Roman"/>
          <w:i w:val="0"/>
          <w:sz w:val="24"/>
        </w:rPr>
        <w:t xml:space="preserve">MACEDO, L. et al. Playing without goalkeeper: the use of an empty goal in high-performance men’s handball. </w:t>
      </w:r>
      <w:r>
        <w:rPr>
          <w:rFonts w:ascii="Times New Roman" w:hAnsi="Times New Roman"/>
          <w:b/>
          <w:sz w:val="24"/>
        </w:rPr>
        <w:t>International Journal of Performance Analysis in Sport</w:t>
      </w:r>
      <w:r>
        <w:rPr>
          <w:rFonts w:ascii="Times New Roman" w:hAnsi="Times New Roman"/>
          <w:i w:val="0"/>
          <w:sz w:val="24"/>
        </w:rPr>
        <w:t>, v. 25, n. 6, p. 1189-1207, 2025. DOI: https://doi.org/10.1080/24748668.2024.2354109.</w:t>
      </w:r>
    </w:p>
    <w:p>
      <w:pPr>
        <w:spacing w:before="0" w:after="120" w:line="240" w:lineRule="auto"/>
        <w:ind w:left="0" w:firstLine="0"/>
        <w:jc w:val="left"/>
      </w:pPr>
      <w:r>
        <w:rPr>
          <w:rFonts w:ascii="Times New Roman" w:hAnsi="Times New Roman"/>
          <w:i w:val="0"/>
          <w:sz w:val="24"/>
        </w:rPr>
        <w:t xml:space="preserve">MAJER, M. L. L. et al. Examining the use of experience sampling methods in sport psychology research: a scoping review. </w:t>
      </w:r>
      <w:r>
        <w:rPr>
          <w:rFonts w:ascii="Times New Roman" w:hAnsi="Times New Roman"/>
          <w:b/>
          <w:sz w:val="24"/>
        </w:rPr>
        <w:t>Frontiers in Psychology</w:t>
      </w:r>
      <w:r>
        <w:rPr>
          <w:rFonts w:ascii="Times New Roman" w:hAnsi="Times New Roman"/>
          <w:i w:val="0"/>
          <w:sz w:val="24"/>
        </w:rPr>
        <w:t>, v. 17, e1860704, 2026. DOI: https://doi.org/10.3389/fpsyg.2026.1860704.</w:t>
      </w:r>
    </w:p>
    <w:p>
      <w:pPr>
        <w:spacing w:before="0" w:after="120" w:line="240" w:lineRule="auto"/>
        <w:ind w:left="0" w:firstLine="0"/>
        <w:jc w:val="left"/>
      </w:pPr>
      <w:r>
        <w:rPr>
          <w:rFonts w:ascii="Times New Roman" w:hAnsi="Times New Roman"/>
          <w:i w:val="0"/>
          <w:sz w:val="24"/>
        </w:rPr>
        <w:t xml:space="preserve">MARTIN-LÓPEZ, J. et al. Influence of time-of-day on neuromuscular performance in team sport athletes: a systematic review and meta-analysis. </w:t>
      </w:r>
      <w:r>
        <w:rPr>
          <w:rFonts w:ascii="Times New Roman" w:hAnsi="Times New Roman"/>
          <w:b/>
          <w:sz w:val="24"/>
        </w:rPr>
        <w:t>Frontiers in Sports and Active Living</w:t>
      </w:r>
      <w:r>
        <w:rPr>
          <w:rFonts w:ascii="Times New Roman" w:hAnsi="Times New Roman"/>
          <w:i w:val="0"/>
          <w:sz w:val="24"/>
        </w:rPr>
        <w:t>, v. 6, e1466050, 2025. DOI: https://doi.org/10.3389/fspor.2024.1466050.</w:t>
      </w:r>
    </w:p>
    <w:p>
      <w:pPr>
        <w:spacing w:before="0" w:after="120" w:line="240" w:lineRule="auto"/>
        <w:ind w:left="0" w:firstLine="0"/>
        <w:jc w:val="left"/>
      </w:pPr>
      <w:r>
        <w:rPr>
          <w:rFonts w:ascii="Times New Roman" w:hAnsi="Times New Roman"/>
          <w:i w:val="0"/>
          <w:sz w:val="24"/>
        </w:rPr>
        <w:t xml:space="preserve">MCHUGH, M. L. Interrater reliability: the kappa statistic. </w:t>
      </w:r>
      <w:r>
        <w:rPr>
          <w:rFonts w:ascii="Times New Roman" w:hAnsi="Times New Roman"/>
          <w:b/>
          <w:sz w:val="24"/>
        </w:rPr>
        <w:t>Biochemia Medica</w:t>
      </w:r>
      <w:r>
        <w:rPr>
          <w:rFonts w:ascii="Times New Roman" w:hAnsi="Times New Roman"/>
          <w:i w:val="0"/>
          <w:sz w:val="24"/>
        </w:rPr>
        <w:t>, p. 276-282, 2012. DOI: https://doi.org/10.11613/bm.2012.031.</w:t>
      </w:r>
    </w:p>
    <w:p>
      <w:pPr>
        <w:spacing w:before="0" w:after="120" w:line="240" w:lineRule="auto"/>
        <w:ind w:left="0" w:firstLine="0"/>
        <w:jc w:val="left"/>
      </w:pPr>
      <w:r>
        <w:rPr>
          <w:rFonts w:ascii="Times New Roman" w:hAnsi="Times New Roman"/>
          <w:i w:val="0"/>
          <w:sz w:val="24"/>
        </w:rPr>
        <w:t xml:space="preserve">MEIGNIÉ, A. et al. The Effects of Menstrual Cycle Phase on Elite Athlete Performance: A Critical and Systematic Review. </w:t>
      </w:r>
      <w:r>
        <w:rPr>
          <w:rFonts w:ascii="Times New Roman" w:hAnsi="Times New Roman"/>
          <w:b/>
          <w:sz w:val="24"/>
        </w:rPr>
        <w:t>Frontiers in Physiology</w:t>
      </w:r>
      <w:r>
        <w:rPr>
          <w:rFonts w:ascii="Times New Roman" w:hAnsi="Times New Roman"/>
          <w:i w:val="0"/>
          <w:sz w:val="24"/>
        </w:rPr>
        <w:t>, v. 12, e654585, 2021. DOI: https://doi.org/10.3389/fphys.2021.654585.</w:t>
      </w:r>
    </w:p>
    <w:p>
      <w:pPr>
        <w:spacing w:before="0" w:after="120" w:line="240" w:lineRule="auto"/>
        <w:ind w:left="0" w:firstLine="0"/>
        <w:jc w:val="left"/>
      </w:pPr>
      <w:r>
        <w:rPr>
          <w:rFonts w:ascii="Times New Roman" w:hAnsi="Times New Roman"/>
          <w:i w:val="0"/>
          <w:sz w:val="24"/>
        </w:rPr>
        <w:t xml:space="preserve">MEYERS, S.; TAMIR, M. Emotion Regulation Versus Mood Regulation. </w:t>
      </w:r>
      <w:r>
        <w:rPr>
          <w:rFonts w:ascii="Times New Roman" w:hAnsi="Times New Roman"/>
          <w:b/>
          <w:sz w:val="24"/>
        </w:rPr>
        <w:t>Emotion Review</w:t>
      </w:r>
      <w:r>
        <w:rPr>
          <w:rFonts w:ascii="Times New Roman" w:hAnsi="Times New Roman"/>
          <w:i w:val="0"/>
          <w:sz w:val="24"/>
        </w:rPr>
        <w:t>, v. 16, n. 3, p. 151-161, 2024. DOI: https://doi.org/10.1177/17540739241259559.</w:t>
      </w:r>
    </w:p>
    <w:p>
      <w:pPr>
        <w:spacing w:before="0" w:after="120" w:line="240" w:lineRule="auto"/>
        <w:ind w:left="0" w:firstLine="0"/>
        <w:jc w:val="left"/>
      </w:pPr>
      <w:r>
        <w:rPr>
          <w:rFonts w:ascii="Times New Roman" w:hAnsi="Times New Roman"/>
          <w:i w:val="0"/>
          <w:sz w:val="24"/>
        </w:rPr>
        <w:t xml:space="preserve">MICHALSIK, L.; AAGAARD, P.; MADSEN, K. Locomotion Characteristics and Match-Induced Impairments in Physical Performance in Male Elite Team Handball Players. </w:t>
      </w:r>
      <w:r>
        <w:rPr>
          <w:rFonts w:ascii="Times New Roman" w:hAnsi="Times New Roman"/>
          <w:b/>
          <w:sz w:val="24"/>
        </w:rPr>
        <w:t>International Journal of Sports Medicine</w:t>
      </w:r>
      <w:r>
        <w:rPr>
          <w:rFonts w:ascii="Times New Roman" w:hAnsi="Times New Roman"/>
          <w:i w:val="0"/>
          <w:sz w:val="24"/>
        </w:rPr>
        <w:t>, v. 34, n. 07, p. 590-599, 2012. DOI: https://doi.org/10.1055/s-0032-1329989.</w:t>
      </w:r>
    </w:p>
    <w:p>
      <w:pPr>
        <w:spacing w:before="0" w:after="120" w:line="240" w:lineRule="auto"/>
        <w:ind w:left="0" w:firstLine="0"/>
        <w:jc w:val="left"/>
      </w:pPr>
      <w:r>
        <w:rPr>
          <w:rFonts w:ascii="Times New Roman" w:hAnsi="Times New Roman"/>
          <w:i w:val="0"/>
          <w:sz w:val="24"/>
        </w:rPr>
        <w:t xml:space="preserve">MIRALLES-AMORÓS, L. et al. Study of Different Personalised Dietary Plans on Eating Behaviour, Body Image and Mood in Young Female Professional Handball Players: A Randomised Controlled Trial. </w:t>
      </w:r>
      <w:r>
        <w:rPr>
          <w:rFonts w:ascii="Times New Roman" w:hAnsi="Times New Roman"/>
          <w:b/>
          <w:sz w:val="24"/>
        </w:rPr>
        <w:t>Children</w:t>
      </w:r>
      <w:r>
        <w:rPr>
          <w:rFonts w:ascii="Times New Roman" w:hAnsi="Times New Roman"/>
          <w:i w:val="0"/>
          <w:sz w:val="24"/>
        </w:rPr>
        <w:t>, v. 10, n. 2, e259, 2023. DOI: https://doi.org/10.3390/children10020259.</w:t>
      </w:r>
    </w:p>
    <w:p>
      <w:pPr>
        <w:spacing w:before="0" w:after="120" w:line="240" w:lineRule="auto"/>
        <w:ind w:left="0" w:firstLine="0"/>
        <w:jc w:val="left"/>
      </w:pPr>
      <w:r>
        <w:rPr>
          <w:rFonts w:ascii="Times New Roman" w:hAnsi="Times New Roman"/>
          <w:i w:val="0"/>
          <w:sz w:val="24"/>
        </w:rPr>
        <w:t xml:space="preserve">MON-LÓPEZ, D. et al. The Impact of Covid-19 and the Effect of Psychological Factors on Training Conditions of Handball Players. </w:t>
      </w:r>
      <w:r>
        <w:rPr>
          <w:rFonts w:ascii="Times New Roman" w:hAnsi="Times New Roman"/>
          <w:b/>
          <w:sz w:val="24"/>
        </w:rPr>
        <w:t>International Journal of Environmental Research and Public Health</w:t>
      </w:r>
      <w:r>
        <w:rPr>
          <w:rFonts w:ascii="Times New Roman" w:hAnsi="Times New Roman"/>
          <w:i w:val="0"/>
          <w:sz w:val="24"/>
        </w:rPr>
        <w:t>, v. 17, n. 18, e6471, 2020. DOI: https://doi.org/10.3390/ijerph17186471.</w:t>
      </w:r>
    </w:p>
    <w:p>
      <w:pPr>
        <w:spacing w:before="0" w:after="120" w:line="240" w:lineRule="auto"/>
        <w:ind w:left="0" w:firstLine="0"/>
        <w:jc w:val="left"/>
      </w:pPr>
      <w:r>
        <w:rPr>
          <w:rFonts w:ascii="Times New Roman" w:hAnsi="Times New Roman"/>
          <w:i w:val="0"/>
          <w:sz w:val="24"/>
        </w:rPr>
        <w:t xml:space="preserve">MONTES, F. A.; GOMES, S. C. Correlação entre resistência anaeróbia e estados de humor ao longo de uma temporada na modalidade handebol. </w:t>
      </w:r>
      <w:r>
        <w:rPr>
          <w:rFonts w:ascii="Times New Roman" w:hAnsi="Times New Roman"/>
          <w:b/>
          <w:sz w:val="24"/>
        </w:rPr>
        <w:t>UNOPAR Científica Ciências Biológicas e da Saúde</w:t>
      </w:r>
      <w:r>
        <w:rPr>
          <w:rFonts w:ascii="Times New Roman" w:hAnsi="Times New Roman"/>
          <w:i w:val="0"/>
          <w:sz w:val="24"/>
        </w:rPr>
        <w:t>, v. 16, n. 2, p. 83-86, 2014.</w:t>
      </w:r>
    </w:p>
    <w:p>
      <w:pPr>
        <w:spacing w:before="0" w:after="120" w:line="240" w:lineRule="auto"/>
        <w:ind w:left="0" w:firstLine="0"/>
        <w:jc w:val="left"/>
      </w:pPr>
      <w:r>
        <w:rPr>
          <w:rFonts w:ascii="Times New Roman" w:hAnsi="Times New Roman"/>
          <w:i w:val="0"/>
          <w:sz w:val="24"/>
        </w:rPr>
        <w:t xml:space="preserve">MORENAS-AGUILAR, M. et al. The menstrual cycle does not influence vertical jump performance or throwing velocity in amateur team handball players. </w:t>
      </w:r>
      <w:r>
        <w:rPr>
          <w:rFonts w:ascii="Times New Roman" w:hAnsi="Times New Roman"/>
          <w:b/>
          <w:sz w:val="24"/>
        </w:rPr>
        <w:t>Science &amp; Sports</w:t>
      </w:r>
      <w:r>
        <w:rPr>
          <w:rFonts w:ascii="Times New Roman" w:hAnsi="Times New Roman"/>
          <w:i w:val="0"/>
          <w:sz w:val="24"/>
        </w:rPr>
        <w:t>, v. 38, n. 2, p. 211-215, 2023. DOI: https://doi.org/10.1016/j.scispo.2022.02.008.</w:t>
      </w:r>
    </w:p>
    <w:p>
      <w:pPr>
        <w:spacing w:before="0" w:after="120" w:line="240" w:lineRule="auto"/>
        <w:ind w:left="0" w:firstLine="0"/>
        <w:jc w:val="left"/>
      </w:pPr>
      <w:r>
        <w:rPr>
          <w:rFonts w:ascii="Times New Roman" w:hAnsi="Times New Roman"/>
          <w:i w:val="0"/>
          <w:sz w:val="24"/>
        </w:rPr>
        <w:t xml:space="preserve">MORGAN, W. P. et al. Psychological monitoring of overtraining and staleness. </w:t>
      </w:r>
      <w:r>
        <w:rPr>
          <w:rFonts w:ascii="Times New Roman" w:hAnsi="Times New Roman"/>
          <w:b/>
          <w:sz w:val="24"/>
        </w:rPr>
        <w:t>British Journal of Sports Medicine</w:t>
      </w:r>
      <w:r>
        <w:rPr>
          <w:rFonts w:ascii="Times New Roman" w:hAnsi="Times New Roman"/>
          <w:i w:val="0"/>
          <w:sz w:val="24"/>
        </w:rPr>
        <w:t>, v. 21, n. 3, p. 107-114, 1987. DOI: https://doi.org/10.1136/bjsm.21.3.107.</w:t>
      </w:r>
    </w:p>
    <w:p>
      <w:pPr>
        <w:spacing w:before="0" w:after="120" w:line="240" w:lineRule="auto"/>
        <w:ind w:left="0" w:firstLine="0"/>
        <w:jc w:val="left"/>
      </w:pPr>
      <w:r>
        <w:rPr>
          <w:rFonts w:ascii="Times New Roman" w:hAnsi="Times New Roman"/>
          <w:i w:val="0"/>
          <w:sz w:val="24"/>
        </w:rPr>
        <w:t xml:space="preserve">MOUNTJOY, M. et al. 2023 International Olympic Committee’s (IOC) consensus statement on Relative Energy Deficiency in Sport (REDs). </w:t>
      </w:r>
      <w:r>
        <w:rPr>
          <w:rFonts w:ascii="Times New Roman" w:hAnsi="Times New Roman"/>
          <w:b/>
          <w:sz w:val="24"/>
        </w:rPr>
        <w:t>British Journal of Sports Medicine</w:t>
      </w:r>
      <w:r>
        <w:rPr>
          <w:rFonts w:ascii="Times New Roman" w:hAnsi="Times New Roman"/>
          <w:i w:val="0"/>
          <w:sz w:val="24"/>
        </w:rPr>
        <w:t>, v. 57, n. 17, p. 1073-1098, 2023. DOI: https://doi.org/10.1136/bjsports-2023-106994.</w:t>
      </w:r>
    </w:p>
    <w:p>
      <w:pPr>
        <w:spacing w:before="0" w:after="120" w:line="240" w:lineRule="auto"/>
        <w:ind w:left="0" w:firstLine="0"/>
        <w:jc w:val="left"/>
      </w:pPr>
      <w:r>
        <w:rPr>
          <w:rFonts w:ascii="Times New Roman" w:hAnsi="Times New Roman"/>
          <w:i w:val="0"/>
          <w:sz w:val="24"/>
        </w:rPr>
        <w:t xml:space="preserve">MUNN, Z. et al. Systematic review or scoping review? Guidance for authors when choosing between a systematic or scoping review approach. </w:t>
      </w:r>
      <w:r>
        <w:rPr>
          <w:rFonts w:ascii="Times New Roman" w:hAnsi="Times New Roman"/>
          <w:b/>
          <w:sz w:val="24"/>
        </w:rPr>
        <w:t>BMC Medical Research Methodology</w:t>
      </w:r>
      <w:r>
        <w:rPr>
          <w:rFonts w:ascii="Times New Roman" w:hAnsi="Times New Roman"/>
          <w:i w:val="0"/>
          <w:sz w:val="24"/>
        </w:rPr>
        <w:t>, v. 18, n. 1, e143, 2018a. DOI: https://doi.org/10.1186/s12874-018-0611-x.</w:t>
      </w:r>
    </w:p>
    <w:p>
      <w:pPr>
        <w:spacing w:before="0" w:after="120" w:line="240" w:lineRule="auto"/>
        <w:ind w:left="0" w:firstLine="0"/>
        <w:jc w:val="left"/>
      </w:pPr>
      <w:r>
        <w:rPr>
          <w:rFonts w:ascii="Times New Roman" w:hAnsi="Times New Roman"/>
          <w:i w:val="0"/>
          <w:sz w:val="24"/>
        </w:rPr>
        <w:t xml:space="preserve">MUNN, Z. et al. What kind of systematic review should I conduct? A proposed typology and guidance for systematic reviewers in the medical and health sciences. </w:t>
      </w:r>
      <w:r>
        <w:rPr>
          <w:rFonts w:ascii="Times New Roman" w:hAnsi="Times New Roman"/>
          <w:b/>
          <w:sz w:val="24"/>
        </w:rPr>
        <w:t>BMC Medical Research Methodology</w:t>
      </w:r>
      <w:r>
        <w:rPr>
          <w:rFonts w:ascii="Times New Roman" w:hAnsi="Times New Roman"/>
          <w:i w:val="0"/>
          <w:sz w:val="24"/>
        </w:rPr>
        <w:t>, v. 18, n. 1, e5, 2018b. DOI: https://doi.org/10.1186/s12874-017-0468-4.</w:t>
      </w:r>
    </w:p>
    <w:p>
      <w:pPr>
        <w:spacing w:before="0" w:after="120" w:line="240" w:lineRule="auto"/>
        <w:ind w:left="0" w:firstLine="0"/>
        <w:jc w:val="left"/>
      </w:pPr>
      <w:r>
        <w:rPr>
          <w:rFonts w:ascii="Times New Roman" w:hAnsi="Times New Roman"/>
          <w:i w:val="0"/>
          <w:sz w:val="24"/>
        </w:rPr>
        <w:t xml:space="preserve">OBREGÓN SIBÓN, I. et al. Cambios postest en el umbral mecánico nociceptivo de la musculatura del hombro y en el estado de ánimo en jugadores de balonmano. </w:t>
      </w:r>
      <w:r>
        <w:rPr>
          <w:rFonts w:ascii="Times New Roman" w:hAnsi="Times New Roman"/>
          <w:b/>
          <w:sz w:val="24"/>
        </w:rPr>
        <w:t>Cuestiones de Fisioterapia</w:t>
      </w:r>
      <w:r>
        <w:rPr>
          <w:rFonts w:ascii="Times New Roman" w:hAnsi="Times New Roman"/>
          <w:i w:val="0"/>
          <w:sz w:val="24"/>
        </w:rPr>
        <w:t>, v. 46, n. 3, p. 183-191, 2017. Disponível em: https://dialnet.unirioja.es/servlet/articulo?codigo=6263341. Acesso em: 21 out. 2026.</w:t>
      </w:r>
    </w:p>
    <w:p>
      <w:pPr>
        <w:spacing w:before="0" w:after="120" w:line="240" w:lineRule="auto"/>
        <w:ind w:left="0" w:firstLine="0"/>
        <w:jc w:val="left"/>
      </w:pPr>
      <w:r>
        <w:rPr>
          <w:rFonts w:ascii="Times New Roman" w:hAnsi="Times New Roman"/>
          <w:i w:val="0"/>
          <w:sz w:val="24"/>
        </w:rPr>
        <w:t xml:space="preserve">OUZZANI, M. et al. Rayyan—a web and mobile app for systematic reviews. </w:t>
      </w:r>
      <w:r>
        <w:rPr>
          <w:rFonts w:ascii="Times New Roman" w:hAnsi="Times New Roman"/>
          <w:b/>
          <w:sz w:val="24"/>
        </w:rPr>
        <w:t>Systematic Reviews</w:t>
      </w:r>
      <w:r>
        <w:rPr>
          <w:rFonts w:ascii="Times New Roman" w:hAnsi="Times New Roman"/>
          <w:i w:val="0"/>
          <w:sz w:val="24"/>
        </w:rPr>
        <w:t>, v. 5, n. 1, e210, 2016. DOI: https://doi.org/10.1186/s13643-016-0384-4.</w:t>
      </w:r>
    </w:p>
    <w:p>
      <w:pPr>
        <w:spacing w:before="0" w:after="120" w:line="240" w:lineRule="auto"/>
        <w:ind w:left="0" w:firstLine="0"/>
        <w:jc w:val="left"/>
      </w:pPr>
      <w:r>
        <w:rPr>
          <w:rFonts w:ascii="Times New Roman" w:hAnsi="Times New Roman"/>
          <w:i w:val="0"/>
          <w:sz w:val="24"/>
        </w:rPr>
        <w:t xml:space="preserve">PACEWICZ, C. E.; SMITH, A. L.; FRANK, K. Teammate communication, loneliness, and contagion of athlete burnout. </w:t>
      </w:r>
      <w:r>
        <w:rPr>
          <w:rFonts w:ascii="Times New Roman" w:hAnsi="Times New Roman"/>
          <w:b/>
          <w:sz w:val="24"/>
        </w:rPr>
        <w:t>Psychology of Sport and Exercise</w:t>
      </w:r>
      <w:r>
        <w:rPr>
          <w:rFonts w:ascii="Times New Roman" w:hAnsi="Times New Roman"/>
          <w:i w:val="0"/>
          <w:sz w:val="24"/>
        </w:rPr>
        <w:t>, v. 78, e102807, 2025. DOI: https://doi.org/10.1016/j.psychsport.2025.102807.</w:t>
      </w:r>
    </w:p>
    <w:p>
      <w:pPr>
        <w:spacing w:before="0" w:after="120" w:line="240" w:lineRule="auto"/>
        <w:ind w:left="0" w:firstLine="0"/>
        <w:jc w:val="left"/>
      </w:pPr>
      <w:r>
        <w:rPr>
          <w:rFonts w:ascii="Times New Roman" w:hAnsi="Times New Roman"/>
          <w:i w:val="0"/>
          <w:sz w:val="24"/>
        </w:rPr>
        <w:t xml:space="preserve">PADILHAS, O. P. et al. Inter season physiological control of the brazilian beach handball team. </w:t>
      </w:r>
      <w:r>
        <w:rPr>
          <w:rFonts w:ascii="Times New Roman" w:hAnsi="Times New Roman"/>
          <w:b/>
          <w:sz w:val="24"/>
        </w:rPr>
        <w:t>Revista Brasileira de Medicina do Esporte</w:t>
      </w:r>
      <w:r>
        <w:rPr>
          <w:rFonts w:ascii="Times New Roman" w:hAnsi="Times New Roman"/>
          <w:i w:val="0"/>
          <w:sz w:val="24"/>
        </w:rPr>
        <w:t>, v. 24, n. 6, p. 436-439, 2018. DOI: https://doi.org/10.1590/1517-869220182406153471.</w:t>
      </w:r>
    </w:p>
    <w:p>
      <w:pPr>
        <w:spacing w:before="0" w:after="120" w:line="240" w:lineRule="auto"/>
        <w:ind w:left="0" w:firstLine="0"/>
        <w:jc w:val="left"/>
      </w:pPr>
      <w:r>
        <w:rPr>
          <w:rFonts w:ascii="Times New Roman" w:hAnsi="Times New Roman"/>
          <w:i w:val="0"/>
          <w:sz w:val="24"/>
        </w:rPr>
        <w:t xml:space="preserve">PAGE, M. J. et al. The PRISMA 2020 statement: an updated guideline for reporting systematic reviews. </w:t>
      </w:r>
      <w:r>
        <w:rPr>
          <w:rFonts w:ascii="Times New Roman" w:hAnsi="Times New Roman"/>
          <w:b/>
          <w:sz w:val="24"/>
        </w:rPr>
        <w:t>BMJ</w:t>
      </w:r>
      <w:r>
        <w:rPr>
          <w:rFonts w:ascii="Times New Roman" w:hAnsi="Times New Roman"/>
          <w:i w:val="0"/>
          <w:sz w:val="24"/>
        </w:rPr>
        <w:t>, n71, 2021. DOI: https://doi.org/10.1136/bmj.n71.</w:t>
      </w:r>
    </w:p>
    <w:p>
      <w:pPr>
        <w:spacing w:before="0" w:after="120" w:line="240" w:lineRule="auto"/>
        <w:ind w:left="0" w:firstLine="0"/>
        <w:jc w:val="left"/>
      </w:pPr>
      <w:r>
        <w:rPr>
          <w:rFonts w:ascii="Times New Roman" w:hAnsi="Times New Roman"/>
          <w:i w:val="0"/>
          <w:sz w:val="24"/>
        </w:rPr>
        <w:t xml:space="preserve">PALUDO, A. C. et al. The Effect of Menstrual Cycle on Perceptual Responses in Athletes: A Systematic Review With Meta-Analysis. </w:t>
      </w:r>
      <w:r>
        <w:rPr>
          <w:rFonts w:ascii="Times New Roman" w:hAnsi="Times New Roman"/>
          <w:b/>
          <w:sz w:val="24"/>
        </w:rPr>
        <w:t>Frontiers in Psychology</w:t>
      </w:r>
      <w:r>
        <w:rPr>
          <w:rFonts w:ascii="Times New Roman" w:hAnsi="Times New Roman"/>
          <w:i w:val="0"/>
          <w:sz w:val="24"/>
        </w:rPr>
        <w:t>, v. 13, e926854, 2022. DOI: https://doi.org/10.3389/fpsyg.2022.926854.</w:t>
      </w:r>
    </w:p>
    <w:p>
      <w:pPr>
        <w:spacing w:before="0" w:after="120" w:line="240" w:lineRule="auto"/>
        <w:ind w:left="0" w:firstLine="0"/>
        <w:jc w:val="left"/>
      </w:pPr>
      <w:r>
        <w:rPr>
          <w:rFonts w:ascii="Times New Roman" w:hAnsi="Times New Roman"/>
          <w:i w:val="0"/>
          <w:sz w:val="24"/>
        </w:rPr>
        <w:t xml:space="preserve">PANCAR, Z. et al. Acute Biochemical Responses to Competitive Tournament Load in Female Handball Players: Hormonal, Inflammatory and Muscle Damage Markers. </w:t>
      </w:r>
      <w:r>
        <w:rPr>
          <w:rFonts w:ascii="Times New Roman" w:hAnsi="Times New Roman"/>
          <w:b/>
          <w:sz w:val="24"/>
        </w:rPr>
        <w:t>Life</w:t>
      </w:r>
      <w:r>
        <w:rPr>
          <w:rFonts w:ascii="Times New Roman" w:hAnsi="Times New Roman"/>
          <w:i w:val="0"/>
          <w:sz w:val="24"/>
        </w:rPr>
        <w:t>, v. 16, n. 3, e523, 2026. DOI: https://doi.org/10.3390/life16030523.</w:t>
      </w:r>
    </w:p>
    <w:p>
      <w:pPr>
        <w:spacing w:before="0" w:after="120" w:line="240" w:lineRule="auto"/>
        <w:ind w:left="0" w:firstLine="0"/>
        <w:jc w:val="left"/>
      </w:pPr>
      <w:r>
        <w:rPr>
          <w:rFonts w:ascii="Times New Roman" w:hAnsi="Times New Roman"/>
          <w:i w:val="0"/>
          <w:sz w:val="24"/>
        </w:rPr>
        <w:t xml:space="preserve">PARSONS-SMITH, R. L.; TERRY, P. C.; MACHIN, M. A. Identification and Description of Novel Mood Profile Clusters. </w:t>
      </w:r>
      <w:r>
        <w:rPr>
          <w:rFonts w:ascii="Times New Roman" w:hAnsi="Times New Roman"/>
          <w:b/>
          <w:sz w:val="24"/>
        </w:rPr>
        <w:t>Frontiers in Psychology</w:t>
      </w:r>
      <w:r>
        <w:rPr>
          <w:rFonts w:ascii="Times New Roman" w:hAnsi="Times New Roman"/>
          <w:i w:val="0"/>
          <w:sz w:val="24"/>
        </w:rPr>
        <w:t>, v. 8, e1958, 2017. DOI: https://doi.org/10.3389/fpsyg.2017.01958.</w:t>
      </w:r>
    </w:p>
    <w:p>
      <w:pPr>
        <w:spacing w:before="0" w:after="120" w:line="240" w:lineRule="auto"/>
        <w:ind w:left="0" w:firstLine="0"/>
        <w:jc w:val="left"/>
      </w:pPr>
      <w:r>
        <w:rPr>
          <w:rFonts w:ascii="Times New Roman" w:hAnsi="Times New Roman"/>
          <w:i w:val="0"/>
          <w:sz w:val="24"/>
        </w:rPr>
        <w:t xml:space="preserve">PEREIRA, R. et al. Avaliação do Estado Fisiológico de Escolares Atletas. </w:t>
      </w:r>
      <w:r>
        <w:rPr>
          <w:rFonts w:ascii="Times New Roman" w:hAnsi="Times New Roman"/>
          <w:b/>
          <w:sz w:val="24"/>
        </w:rPr>
        <w:t>Revista Brasileira de Ciências da Saúde</w:t>
      </w:r>
      <w:r>
        <w:rPr>
          <w:rFonts w:ascii="Times New Roman" w:hAnsi="Times New Roman"/>
          <w:i w:val="0"/>
          <w:sz w:val="24"/>
        </w:rPr>
        <w:t>, v. 18, n. S4, p. 75-82, 2014. DOI: https://doi.org/10.4034/RBCS.2014.18.S4.10.</w:t>
      </w:r>
    </w:p>
    <w:p>
      <w:pPr>
        <w:spacing w:before="0" w:after="120" w:line="240" w:lineRule="auto"/>
        <w:ind w:left="0" w:firstLine="0"/>
        <w:jc w:val="left"/>
      </w:pPr>
      <w:r>
        <w:rPr>
          <w:rFonts w:ascii="Times New Roman" w:hAnsi="Times New Roman"/>
          <w:i w:val="0"/>
          <w:sz w:val="24"/>
        </w:rPr>
        <w:t xml:space="preserve">PETERS, M. D. et al. Updated methodological guidance for the conduct of scoping reviews. </w:t>
      </w:r>
      <w:r>
        <w:rPr>
          <w:rFonts w:ascii="Times New Roman" w:hAnsi="Times New Roman"/>
          <w:b/>
          <w:sz w:val="24"/>
        </w:rPr>
        <w:t>JBI Evidence Synthesis</w:t>
      </w:r>
      <w:r>
        <w:rPr>
          <w:rFonts w:ascii="Times New Roman" w:hAnsi="Times New Roman"/>
          <w:i w:val="0"/>
          <w:sz w:val="24"/>
        </w:rPr>
        <w:t>, v. 18, n. 10, p. 2119-2126, 2020. DOI: https://doi.org/10.11124/jbies-20-00167.</w:t>
      </w:r>
    </w:p>
    <w:p>
      <w:pPr>
        <w:spacing w:before="0" w:after="120" w:line="240" w:lineRule="auto"/>
        <w:ind w:left="0" w:firstLine="0"/>
        <w:jc w:val="left"/>
      </w:pPr>
      <w:r>
        <w:rPr>
          <w:rFonts w:ascii="Times New Roman" w:hAnsi="Times New Roman"/>
          <w:i w:val="0"/>
          <w:sz w:val="24"/>
        </w:rPr>
        <w:t xml:space="preserve">PÓVOAS, S. C. et al. Physical and Physiological Demands of Elite Team Handball. </w:t>
      </w:r>
      <w:r>
        <w:rPr>
          <w:rFonts w:ascii="Times New Roman" w:hAnsi="Times New Roman"/>
          <w:b/>
          <w:sz w:val="24"/>
        </w:rPr>
        <w:t>Journal of Strength and Conditioning Research</w:t>
      </w:r>
      <w:r>
        <w:rPr>
          <w:rFonts w:ascii="Times New Roman" w:hAnsi="Times New Roman"/>
          <w:i w:val="0"/>
          <w:sz w:val="24"/>
        </w:rPr>
        <w:t>, v. 26, n. 12, p. 3365-3375, 2012. DOI: https://doi.org/10.1519/jsc.0b013e318248aeee.</w:t>
      </w:r>
    </w:p>
    <w:p>
      <w:pPr>
        <w:spacing w:before="0" w:after="120" w:line="240" w:lineRule="auto"/>
        <w:ind w:left="0" w:firstLine="0"/>
        <w:jc w:val="left"/>
      </w:pPr>
      <w:r>
        <w:rPr>
          <w:rFonts w:ascii="Times New Roman" w:hAnsi="Times New Roman"/>
          <w:i w:val="0"/>
          <w:sz w:val="24"/>
        </w:rPr>
        <w:t xml:space="preserve">RAAB, M.; JOHNSON, J. G. Expertise-based differences in search and option-generation strategies. </w:t>
      </w:r>
      <w:r>
        <w:rPr>
          <w:rFonts w:ascii="Times New Roman" w:hAnsi="Times New Roman"/>
          <w:b/>
          <w:sz w:val="24"/>
        </w:rPr>
        <w:t>Journal of Experimental Psychology: Applied</w:t>
      </w:r>
      <w:r>
        <w:rPr>
          <w:rFonts w:ascii="Times New Roman" w:hAnsi="Times New Roman"/>
          <w:i w:val="0"/>
          <w:sz w:val="24"/>
        </w:rPr>
        <w:t>, v. 13, n. 3, p. 158-170, 2007. DOI: https://doi.org/10.1037/1076-898x.13.3.158.</w:t>
      </w:r>
    </w:p>
    <w:p>
      <w:pPr>
        <w:spacing w:before="0" w:after="120" w:line="240" w:lineRule="auto"/>
        <w:ind w:left="0" w:firstLine="0"/>
        <w:jc w:val="left"/>
      </w:pPr>
      <w:r>
        <w:rPr>
          <w:rFonts w:ascii="Times New Roman" w:hAnsi="Times New Roman"/>
          <w:i w:val="0"/>
          <w:sz w:val="24"/>
        </w:rPr>
        <w:t xml:space="preserve">RAGLIN, J. S. Psychological Factors in Sport Performance. </w:t>
      </w:r>
      <w:r>
        <w:rPr>
          <w:rFonts w:ascii="Times New Roman" w:hAnsi="Times New Roman"/>
          <w:b/>
          <w:sz w:val="24"/>
        </w:rPr>
        <w:t>Sports Medicine</w:t>
      </w:r>
      <w:r>
        <w:rPr>
          <w:rFonts w:ascii="Times New Roman" w:hAnsi="Times New Roman"/>
          <w:i w:val="0"/>
          <w:sz w:val="24"/>
        </w:rPr>
        <w:t>, v. 31, n. 12, p. 875-890, 2001. DOI: https://doi.org/10.2165/00007256-200131120-00004.</w:t>
      </w:r>
    </w:p>
    <w:p>
      <w:pPr>
        <w:spacing w:before="0" w:after="120" w:line="240" w:lineRule="auto"/>
        <w:ind w:left="0" w:firstLine="0"/>
        <w:jc w:val="left"/>
      </w:pPr>
      <w:r>
        <w:rPr>
          <w:rFonts w:ascii="Times New Roman" w:hAnsi="Times New Roman"/>
          <w:i w:val="0"/>
          <w:sz w:val="24"/>
        </w:rPr>
        <w:t xml:space="preserve">RATZ-SULYOK, F. Z. et al. Associations Between Endocrine Status and Stress, Mood and Psychosomatic Status in Elite Handball Players. </w:t>
      </w:r>
      <w:r>
        <w:rPr>
          <w:rFonts w:ascii="Times New Roman" w:hAnsi="Times New Roman"/>
          <w:b/>
          <w:sz w:val="24"/>
        </w:rPr>
        <w:t>Sports</w:t>
      </w:r>
      <w:r>
        <w:rPr>
          <w:rFonts w:ascii="Times New Roman" w:hAnsi="Times New Roman"/>
          <w:i w:val="0"/>
          <w:sz w:val="24"/>
        </w:rPr>
        <w:t>, v. 14, n. 7, e289, 2026. DOI: https://doi.org/10.3390/sports14070289.</w:t>
      </w:r>
    </w:p>
    <w:p>
      <w:pPr>
        <w:spacing w:before="0" w:after="120" w:line="240" w:lineRule="auto"/>
        <w:ind w:left="0" w:firstLine="0"/>
        <w:jc w:val="left"/>
      </w:pPr>
      <w:r>
        <w:rPr>
          <w:rFonts w:ascii="Times New Roman" w:hAnsi="Times New Roman"/>
          <w:i w:val="0"/>
          <w:sz w:val="24"/>
        </w:rPr>
        <w:t xml:space="preserve">REARDON, C. L. et al. Mental health in elite athletes: International Olympic Committee consensus statement (2026). </w:t>
      </w:r>
      <w:r>
        <w:rPr>
          <w:rFonts w:ascii="Times New Roman" w:hAnsi="Times New Roman"/>
          <w:b/>
          <w:sz w:val="24"/>
        </w:rPr>
        <w:t>British Journal of Sports Medicine</w:t>
      </w:r>
      <w:r>
        <w:rPr>
          <w:rFonts w:ascii="Times New Roman" w:hAnsi="Times New Roman"/>
          <w:i w:val="0"/>
          <w:sz w:val="24"/>
        </w:rPr>
        <w:t>, v. 60, n. 15, p. 1083-1130, 2026. DOI: https://doi.org/10.1136/bjsports-2025-111514.</w:t>
      </w:r>
    </w:p>
    <w:p>
      <w:pPr>
        <w:spacing w:before="0" w:after="120" w:line="240" w:lineRule="auto"/>
        <w:ind w:left="0" w:firstLine="0"/>
        <w:jc w:val="left"/>
      </w:pPr>
      <w:r>
        <w:rPr>
          <w:rFonts w:ascii="Times New Roman" w:hAnsi="Times New Roman"/>
          <w:i w:val="0"/>
          <w:sz w:val="24"/>
        </w:rPr>
        <w:t xml:space="preserve">REBELO, A. et al. Training stress, neuromuscular fatigue and well-being in volleyball: a systematic review. </w:t>
      </w:r>
      <w:r>
        <w:rPr>
          <w:rFonts w:ascii="Times New Roman" w:hAnsi="Times New Roman"/>
          <w:b/>
          <w:sz w:val="24"/>
        </w:rPr>
        <w:t>BMC Sports Science, Medicine and Rehabilitation</w:t>
      </w:r>
      <w:r>
        <w:rPr>
          <w:rFonts w:ascii="Times New Roman" w:hAnsi="Times New Roman"/>
          <w:i w:val="0"/>
          <w:sz w:val="24"/>
        </w:rPr>
        <w:t>, v. 16, n. 1, e17, 2024. DOI: https://doi.org/10.1186/s13102-024-00807-7.</w:t>
      </w:r>
    </w:p>
    <w:p>
      <w:pPr>
        <w:spacing w:before="0" w:after="120" w:line="240" w:lineRule="auto"/>
        <w:ind w:left="0" w:firstLine="0"/>
        <w:jc w:val="left"/>
      </w:pPr>
      <w:r>
        <w:rPr>
          <w:rFonts w:ascii="Times New Roman" w:hAnsi="Times New Roman"/>
          <w:i w:val="0"/>
          <w:sz w:val="24"/>
        </w:rPr>
        <w:t xml:space="preserve">REIGAL, R. E. et al. Psychological Profile, Competitive Anxiety, Moods and Self-Efficacy in Beach Handball Players. </w:t>
      </w:r>
      <w:r>
        <w:rPr>
          <w:rFonts w:ascii="Times New Roman" w:hAnsi="Times New Roman"/>
          <w:b/>
          <w:sz w:val="24"/>
        </w:rPr>
        <w:t>International Journal of Environmental Research and Public Health</w:t>
      </w:r>
      <w:r>
        <w:rPr>
          <w:rFonts w:ascii="Times New Roman" w:hAnsi="Times New Roman"/>
          <w:i w:val="0"/>
          <w:sz w:val="24"/>
        </w:rPr>
        <w:t>, v. 17, n. 1, e241, 2020. DOI: https://doi.org/10.3390/ijerph17010241.</w:t>
      </w:r>
    </w:p>
    <w:p>
      <w:pPr>
        <w:spacing w:before="0" w:after="120" w:line="240" w:lineRule="auto"/>
        <w:ind w:left="0" w:firstLine="0"/>
        <w:jc w:val="left"/>
      </w:pPr>
      <w:r>
        <w:rPr>
          <w:rFonts w:ascii="Times New Roman" w:hAnsi="Times New Roman"/>
          <w:i w:val="0"/>
          <w:sz w:val="24"/>
        </w:rPr>
        <w:t xml:space="preserve">ROBAZZA, C. et al. Perceived motivational climate influences athletes’ emotion regulation strategies, emotions, and psychobiosocial experiences. </w:t>
      </w:r>
      <w:r>
        <w:rPr>
          <w:rFonts w:ascii="Times New Roman" w:hAnsi="Times New Roman"/>
          <w:b/>
          <w:sz w:val="24"/>
        </w:rPr>
        <w:t>Psychology of Sport and Exercise</w:t>
      </w:r>
      <w:r>
        <w:rPr>
          <w:rFonts w:ascii="Times New Roman" w:hAnsi="Times New Roman"/>
          <w:i w:val="0"/>
          <w:sz w:val="24"/>
        </w:rPr>
        <w:t>, v. 59, e102110, 2022. DOI: https://doi.org/10.1016/j.psychsport.2021.102110.</w:t>
      </w:r>
    </w:p>
    <w:p>
      <w:pPr>
        <w:spacing w:before="0" w:after="120" w:line="240" w:lineRule="auto"/>
        <w:ind w:left="0" w:firstLine="0"/>
        <w:jc w:val="left"/>
      </w:pPr>
      <w:r>
        <w:rPr>
          <w:rFonts w:ascii="Times New Roman" w:hAnsi="Times New Roman"/>
          <w:i w:val="0"/>
          <w:sz w:val="24"/>
        </w:rPr>
        <w:t xml:space="preserve">ROCHA, P. G. M. D.; LOPES, J. L.; MORAES, S. M. F. D. Efeito da alteração ambiental sobre componentes psicológicos e parâmetros fisiológicos durante corrida em atletas. </w:t>
      </w:r>
      <w:r>
        <w:rPr>
          <w:rFonts w:ascii="Times New Roman" w:hAnsi="Times New Roman"/>
          <w:b/>
          <w:sz w:val="24"/>
        </w:rPr>
        <w:t>Psicologia: Teoria e Pesquisa</w:t>
      </w:r>
      <w:r>
        <w:rPr>
          <w:rFonts w:ascii="Times New Roman" w:hAnsi="Times New Roman"/>
          <w:i w:val="0"/>
          <w:sz w:val="24"/>
        </w:rPr>
        <w:t>, v. 26, n. 2, p. 381-386, 2010. DOI: https://doi.org/10.1590/S0102-37722010000200020.</w:t>
      </w:r>
    </w:p>
    <w:p>
      <w:pPr>
        <w:spacing w:before="0" w:after="120" w:line="240" w:lineRule="auto"/>
        <w:ind w:left="0" w:firstLine="0"/>
        <w:jc w:val="left"/>
      </w:pPr>
      <w:r>
        <w:rPr>
          <w:rFonts w:ascii="Times New Roman" w:hAnsi="Times New Roman"/>
          <w:i w:val="0"/>
          <w:sz w:val="24"/>
        </w:rPr>
        <w:t xml:space="preserve">ROHLFS, I. C. P. D. M. et al. A Escala de Humor de Brunel (Brums): instrumento para detecção precoce da síndrome do excesso de treinamento. </w:t>
      </w:r>
      <w:r>
        <w:rPr>
          <w:rFonts w:ascii="Times New Roman" w:hAnsi="Times New Roman"/>
          <w:b/>
          <w:sz w:val="24"/>
        </w:rPr>
        <w:t>Revista Brasileira de Medicina do Esporte</w:t>
      </w:r>
      <w:r>
        <w:rPr>
          <w:rFonts w:ascii="Times New Roman" w:hAnsi="Times New Roman"/>
          <w:i w:val="0"/>
          <w:sz w:val="24"/>
        </w:rPr>
        <w:t>, v. 14, n. 3, p. 176-181, 2008. DOI: https://doi.org/10.1590/S1517-86922008000300003.</w:t>
      </w:r>
    </w:p>
    <w:p>
      <w:pPr>
        <w:spacing w:before="0" w:after="120" w:line="240" w:lineRule="auto"/>
        <w:ind w:left="0" w:firstLine="0"/>
        <w:jc w:val="left"/>
      </w:pPr>
      <w:r>
        <w:rPr>
          <w:rFonts w:ascii="Times New Roman" w:hAnsi="Times New Roman"/>
          <w:i w:val="0"/>
          <w:sz w:val="24"/>
        </w:rPr>
        <w:t xml:space="preserve">RUMBOLD, J. L. et al. Assessing post‐game emotions in soccer teams: The role of distinct emotional dynamics. </w:t>
      </w:r>
      <w:r>
        <w:rPr>
          <w:rFonts w:ascii="Times New Roman" w:hAnsi="Times New Roman"/>
          <w:b/>
          <w:sz w:val="24"/>
        </w:rPr>
        <w:t>European Journal of Sport Science</w:t>
      </w:r>
      <w:r>
        <w:rPr>
          <w:rFonts w:ascii="Times New Roman" w:hAnsi="Times New Roman"/>
          <w:i w:val="0"/>
          <w:sz w:val="24"/>
        </w:rPr>
        <w:t>, v. 22, n. 6, p. 888-896, 2022. DOI: https://doi.org/10.1080/17461391.2021.1916079.</w:t>
      </w:r>
    </w:p>
    <w:p>
      <w:pPr>
        <w:spacing w:before="0" w:after="120" w:line="240" w:lineRule="auto"/>
        <w:ind w:left="0" w:firstLine="0"/>
        <w:jc w:val="left"/>
      </w:pPr>
      <w:r>
        <w:rPr>
          <w:rFonts w:ascii="Times New Roman" w:hAnsi="Times New Roman"/>
          <w:i w:val="0"/>
          <w:sz w:val="24"/>
        </w:rPr>
        <w:t xml:space="preserve">SAAL, C. et al. How different defensive formations affect physical match demands in the German Handball-Bundesliga: a comparison of the attacking and defending team. </w:t>
      </w:r>
      <w:r>
        <w:rPr>
          <w:rFonts w:ascii="Times New Roman" w:hAnsi="Times New Roman"/>
          <w:b/>
          <w:sz w:val="24"/>
        </w:rPr>
        <w:t>Frontiers in Sports and Active Living</w:t>
      </w:r>
      <w:r>
        <w:rPr>
          <w:rFonts w:ascii="Times New Roman" w:hAnsi="Times New Roman"/>
          <w:i w:val="0"/>
          <w:sz w:val="24"/>
        </w:rPr>
        <w:t>, v. 8, e1811523, 2026. DOI: https://doi.org/10.3389/fspor.2026.1811523.</w:t>
      </w:r>
    </w:p>
    <w:p>
      <w:pPr>
        <w:spacing w:before="0" w:after="120" w:line="240" w:lineRule="auto"/>
        <w:ind w:left="0" w:firstLine="0"/>
        <w:jc w:val="left"/>
      </w:pPr>
      <w:r>
        <w:rPr>
          <w:rFonts w:ascii="Times New Roman" w:hAnsi="Times New Roman"/>
          <w:i w:val="0"/>
          <w:sz w:val="24"/>
        </w:rPr>
        <w:t xml:space="preserve">SAHLI, F. et al. Enhancing Skills, Mood, and Performance in Overweight Handball Players: Exploring Individual vs. Collective Verbal Encouragement Strategies. </w:t>
      </w:r>
      <w:r>
        <w:rPr>
          <w:rFonts w:ascii="Times New Roman" w:hAnsi="Times New Roman"/>
          <w:b/>
          <w:sz w:val="24"/>
        </w:rPr>
        <w:t>Children</w:t>
      </w:r>
      <w:r>
        <w:rPr>
          <w:rFonts w:ascii="Times New Roman" w:hAnsi="Times New Roman"/>
          <w:i w:val="0"/>
          <w:sz w:val="24"/>
        </w:rPr>
        <w:t>, v. 11, n. 4, e432, 2024. DOI: https://doi.org/10.3390/children11040432.</w:t>
      </w:r>
    </w:p>
    <w:p>
      <w:pPr>
        <w:spacing w:before="0" w:after="120" w:line="240" w:lineRule="auto"/>
        <w:ind w:left="0" w:firstLine="0"/>
        <w:jc w:val="left"/>
      </w:pPr>
      <w:r>
        <w:rPr>
          <w:rFonts w:ascii="Times New Roman" w:hAnsi="Times New Roman"/>
          <w:i w:val="0"/>
          <w:sz w:val="24"/>
        </w:rPr>
        <w:t xml:space="preserve">SAHLI, F. et al. The Effects of Combined Verbal Encouragement and Technical Instruction on Technical Skills and Psychophysiological Responses During Small-Sided Handball Games Exercise in Physical Education. </w:t>
      </w:r>
      <w:r>
        <w:rPr>
          <w:rFonts w:ascii="Times New Roman" w:hAnsi="Times New Roman"/>
          <w:b/>
          <w:sz w:val="24"/>
        </w:rPr>
        <w:t>Frontiers in Psychology</w:t>
      </w:r>
      <w:r>
        <w:rPr>
          <w:rFonts w:ascii="Times New Roman" w:hAnsi="Times New Roman"/>
          <w:i w:val="0"/>
          <w:sz w:val="24"/>
        </w:rPr>
        <w:t>, v. 13, e902088, 2022. DOI: https://doi.org/10.3389/fpsyg.2022.902088.</w:t>
      </w:r>
    </w:p>
    <w:p>
      <w:pPr>
        <w:spacing w:before="0" w:after="120" w:line="240" w:lineRule="auto"/>
        <w:ind w:left="0" w:firstLine="0"/>
        <w:jc w:val="left"/>
      </w:pPr>
      <w:r>
        <w:rPr>
          <w:rFonts w:ascii="Times New Roman" w:hAnsi="Times New Roman"/>
          <w:i w:val="0"/>
          <w:sz w:val="24"/>
        </w:rPr>
        <w:t xml:space="preserve">SAIDI, K. et al. Biochemical Markers and Wellness Status During a Congested Match Play Period in Elite Soccer Players. </w:t>
      </w:r>
      <w:r>
        <w:rPr>
          <w:rFonts w:ascii="Times New Roman" w:hAnsi="Times New Roman"/>
          <w:b/>
          <w:sz w:val="24"/>
        </w:rPr>
        <w:t>International Journal of Sports Physiology and Performance</w:t>
      </w:r>
      <w:r>
        <w:rPr>
          <w:rFonts w:ascii="Times New Roman" w:hAnsi="Times New Roman"/>
          <w:i w:val="0"/>
          <w:sz w:val="24"/>
        </w:rPr>
        <w:t>, v. 17, n. 4, p. 605-620, 2022. DOI: https://doi.org/10.1123/ijspp.2020-0914.</w:t>
      </w:r>
    </w:p>
    <w:p>
      <w:pPr>
        <w:spacing w:before="0" w:after="120" w:line="240" w:lineRule="auto"/>
        <w:ind w:left="0" w:firstLine="0"/>
        <w:jc w:val="left"/>
      </w:pPr>
      <w:r>
        <w:rPr>
          <w:rFonts w:ascii="Times New Roman" w:hAnsi="Times New Roman"/>
          <w:i w:val="0"/>
          <w:sz w:val="24"/>
        </w:rPr>
        <w:t xml:space="preserve">SANSONE, P. et al. Breaking Down the 3 × 3 Basketball Game: How Tournament Phase, Game Outcome, and Final Score Margin Impact Physiological, Perceptual, and Mental Demands. </w:t>
      </w:r>
      <w:r>
        <w:rPr>
          <w:rFonts w:ascii="Times New Roman" w:hAnsi="Times New Roman"/>
          <w:b/>
          <w:sz w:val="24"/>
        </w:rPr>
        <w:t>International Journal of Sports Physiology and Performance</w:t>
      </w:r>
      <w:r>
        <w:rPr>
          <w:rFonts w:ascii="Times New Roman" w:hAnsi="Times New Roman"/>
          <w:i w:val="0"/>
          <w:sz w:val="24"/>
        </w:rPr>
        <w:t>, v. 20, n. 6, p. 834-839, 2025. DOI: https://doi.org/10.1123/ijspp.2024-0516.</w:t>
      </w:r>
    </w:p>
    <w:p>
      <w:pPr>
        <w:spacing w:before="0" w:after="120" w:line="240" w:lineRule="auto"/>
        <w:ind w:left="0" w:firstLine="0"/>
        <w:jc w:val="left"/>
      </w:pPr>
      <w:r>
        <w:rPr>
          <w:rFonts w:ascii="Times New Roman" w:hAnsi="Times New Roman"/>
          <w:i w:val="0"/>
          <w:sz w:val="24"/>
        </w:rPr>
        <w:t xml:space="preserve">SAW, A. E.; MAIN, L. C.; GASTIN, P. B. Monitoring the athlete training response: subjective self-reported measures trump commonly used objective measures: a systematic review. </w:t>
      </w:r>
      <w:r>
        <w:rPr>
          <w:rFonts w:ascii="Times New Roman" w:hAnsi="Times New Roman"/>
          <w:b/>
          <w:sz w:val="24"/>
        </w:rPr>
        <w:t>British Journal of Sports Medicine</w:t>
      </w:r>
      <w:r>
        <w:rPr>
          <w:rFonts w:ascii="Times New Roman" w:hAnsi="Times New Roman"/>
          <w:i w:val="0"/>
          <w:sz w:val="24"/>
        </w:rPr>
        <w:t>, v. 50, n. 5, p. 281-291, 2016. DOI: https://doi.org/10.1136/bjsports-2015-094758.</w:t>
      </w:r>
    </w:p>
    <w:p>
      <w:pPr>
        <w:spacing w:before="0" w:after="120" w:line="240" w:lineRule="auto"/>
        <w:ind w:left="0" w:firstLine="0"/>
        <w:jc w:val="left"/>
      </w:pPr>
      <w:r>
        <w:rPr>
          <w:rFonts w:ascii="Times New Roman" w:hAnsi="Times New Roman"/>
          <w:i w:val="0"/>
          <w:sz w:val="24"/>
        </w:rPr>
        <w:t xml:space="preserve">SCHIAVINI, C.; ARENA, R. Influence of the semi-final stage on mood in female handball athletes at Unisinos Championship 2008. </w:t>
      </w:r>
      <w:r>
        <w:rPr>
          <w:rFonts w:ascii="Times New Roman" w:hAnsi="Times New Roman"/>
          <w:b/>
          <w:sz w:val="24"/>
        </w:rPr>
        <w:t>FIEP Bulletin</w:t>
      </w:r>
      <w:r>
        <w:rPr>
          <w:rFonts w:ascii="Times New Roman" w:hAnsi="Times New Roman"/>
          <w:i w:val="0"/>
          <w:sz w:val="24"/>
        </w:rPr>
        <w:t>, v. 80, edição especial, p. 625-628, 2010.</w:t>
      </w:r>
    </w:p>
    <w:p>
      <w:pPr>
        <w:spacing w:before="0" w:after="120" w:line="240" w:lineRule="auto"/>
        <w:ind w:left="0" w:firstLine="0"/>
        <w:jc w:val="left"/>
      </w:pPr>
      <w:r>
        <w:rPr>
          <w:rFonts w:ascii="Times New Roman" w:hAnsi="Times New Roman"/>
          <w:i w:val="0"/>
          <w:sz w:val="24"/>
        </w:rPr>
        <w:t xml:space="preserve">SELMI, O. et al. Coaches’ verbal encouragement in soccer: A systematic review of its effects on internal training load, physical and time-motion performance, and technical skills. </w:t>
      </w:r>
      <w:r>
        <w:rPr>
          <w:rFonts w:ascii="Times New Roman" w:hAnsi="Times New Roman"/>
          <w:b/>
          <w:sz w:val="24"/>
        </w:rPr>
        <w:t>Journal of Sports Sciences</w:t>
      </w:r>
      <w:r>
        <w:rPr>
          <w:rFonts w:ascii="Times New Roman" w:hAnsi="Times New Roman"/>
          <w:i w:val="0"/>
          <w:sz w:val="24"/>
        </w:rPr>
        <w:t>, p. 1-15, 2026. DOI: https://doi.org/10.1080/02640414.2026.2735708.</w:t>
      </w:r>
    </w:p>
    <w:p>
      <w:pPr>
        <w:spacing w:before="0" w:after="120" w:line="240" w:lineRule="auto"/>
        <w:ind w:left="0" w:firstLine="0"/>
        <w:jc w:val="left"/>
      </w:pPr>
      <w:r>
        <w:rPr>
          <w:rFonts w:ascii="Times New Roman" w:hAnsi="Times New Roman"/>
          <w:i w:val="0"/>
          <w:sz w:val="24"/>
        </w:rPr>
        <w:t xml:space="preserve">SELMI, O. et al. Monitoring mood state to improve performance in soccer players: A brief review. </w:t>
      </w:r>
      <w:r>
        <w:rPr>
          <w:rFonts w:ascii="Times New Roman" w:hAnsi="Times New Roman"/>
          <w:b/>
          <w:sz w:val="24"/>
        </w:rPr>
        <w:t>Frontiers in Psychology</w:t>
      </w:r>
      <w:r>
        <w:rPr>
          <w:rFonts w:ascii="Times New Roman" w:hAnsi="Times New Roman"/>
          <w:i w:val="0"/>
          <w:sz w:val="24"/>
        </w:rPr>
        <w:t>, v. 14, e1095238, 2023. DOI: https://doi.org/10.3389/fpsyg.2023.1095238.</w:t>
      </w:r>
    </w:p>
    <w:p>
      <w:pPr>
        <w:spacing w:before="0" w:after="120" w:line="240" w:lineRule="auto"/>
        <w:ind w:left="0" w:firstLine="0"/>
        <w:jc w:val="left"/>
      </w:pPr>
      <w:r>
        <w:rPr>
          <w:rFonts w:ascii="Times New Roman" w:hAnsi="Times New Roman"/>
          <w:i w:val="0"/>
          <w:sz w:val="24"/>
        </w:rPr>
        <w:t xml:space="preserve">SOTO, D.; GARCÍA-HERRERO, J. A.; CARCEDO, R. J. Well-Being and Throwing Speed of Women Handball Players Affected by Feedback. </w:t>
      </w:r>
      <w:r>
        <w:rPr>
          <w:rFonts w:ascii="Times New Roman" w:hAnsi="Times New Roman"/>
          <w:b/>
          <w:sz w:val="24"/>
        </w:rPr>
        <w:t>International Journal of Environmental Research and Public Health</w:t>
      </w:r>
      <w:r>
        <w:rPr>
          <w:rFonts w:ascii="Times New Roman" w:hAnsi="Times New Roman"/>
          <w:i w:val="0"/>
          <w:sz w:val="24"/>
        </w:rPr>
        <w:t>, v. 17, n. 17, e6064, 2020. DOI: https://doi.org/10.3390/ijerph17176064.</w:t>
      </w:r>
    </w:p>
    <w:p>
      <w:pPr>
        <w:spacing w:before="0" w:after="120" w:line="240" w:lineRule="auto"/>
        <w:ind w:left="0" w:firstLine="0"/>
        <w:jc w:val="left"/>
      </w:pPr>
      <w:r>
        <w:rPr>
          <w:rFonts w:ascii="Times New Roman" w:hAnsi="Times New Roman"/>
          <w:i w:val="0"/>
          <w:sz w:val="24"/>
        </w:rPr>
        <w:t xml:space="preserve">STAIANO, W. et al. Overcoming mental fatigue through mindfulness: Improving physical and cognitive performance in elite handball players. </w:t>
      </w:r>
      <w:r>
        <w:rPr>
          <w:rFonts w:ascii="Times New Roman" w:hAnsi="Times New Roman"/>
          <w:b/>
          <w:sz w:val="24"/>
        </w:rPr>
        <w:t>Journal of Science and Medicine in Sport</w:t>
      </w:r>
      <w:r>
        <w:rPr>
          <w:rFonts w:ascii="Times New Roman" w:hAnsi="Times New Roman"/>
          <w:i w:val="0"/>
          <w:sz w:val="24"/>
        </w:rPr>
        <w:t>, v. 29, n. 1, p. 91-99, 2026. DOI: https://doi.org/10.1016/j.jsams.2025.08.004.</w:t>
      </w:r>
    </w:p>
    <w:p>
      <w:pPr>
        <w:spacing w:before="0" w:after="120" w:line="240" w:lineRule="auto"/>
        <w:ind w:left="0" w:firstLine="0"/>
        <w:jc w:val="left"/>
      </w:pPr>
      <w:r>
        <w:rPr>
          <w:rFonts w:ascii="Times New Roman" w:hAnsi="Times New Roman"/>
          <w:i w:val="0"/>
          <w:sz w:val="24"/>
        </w:rPr>
        <w:t xml:space="preserve">TAMMINEN, K. A. et al. A daily diary study of interpersonal emotion regulation, the social environment, and team performance among university athletes. </w:t>
      </w:r>
      <w:r>
        <w:rPr>
          <w:rFonts w:ascii="Times New Roman" w:hAnsi="Times New Roman"/>
          <w:b/>
          <w:sz w:val="24"/>
        </w:rPr>
        <w:t>Psychology of Sport and Exercise</w:t>
      </w:r>
      <w:r>
        <w:rPr>
          <w:rFonts w:ascii="Times New Roman" w:hAnsi="Times New Roman"/>
          <w:i w:val="0"/>
          <w:sz w:val="24"/>
        </w:rPr>
        <w:t>, v. 45, e101566, 2019. DOI: https://doi.org/10.1016/j.psychsport.2019.101566.</w:t>
      </w:r>
    </w:p>
    <w:p>
      <w:pPr>
        <w:spacing w:before="0" w:after="120" w:line="240" w:lineRule="auto"/>
        <w:ind w:left="0" w:firstLine="0"/>
        <w:jc w:val="left"/>
      </w:pPr>
      <w:r>
        <w:rPr>
          <w:rFonts w:ascii="Times New Roman" w:hAnsi="Times New Roman"/>
          <w:i w:val="0"/>
          <w:sz w:val="24"/>
        </w:rPr>
        <w:t xml:space="preserve">TAN, C. et al. The structural validity and latent profile characteristics of the Abbreviated Profile of Mood States among Chinese athletes. </w:t>
      </w:r>
      <w:r>
        <w:rPr>
          <w:rFonts w:ascii="Times New Roman" w:hAnsi="Times New Roman"/>
          <w:b/>
          <w:sz w:val="24"/>
        </w:rPr>
        <w:t>BMC Psychiatry</w:t>
      </w:r>
      <w:r>
        <w:rPr>
          <w:rFonts w:ascii="Times New Roman" w:hAnsi="Times New Roman"/>
          <w:i w:val="0"/>
          <w:sz w:val="24"/>
        </w:rPr>
        <w:t>, v. 24, n. 1, e636, 2024. DOI: https://doi.org/10.1186/s12888-024-06092-5.</w:t>
      </w:r>
    </w:p>
    <w:p>
      <w:pPr>
        <w:spacing w:before="0" w:after="120" w:line="240" w:lineRule="auto"/>
        <w:ind w:left="0" w:firstLine="0"/>
        <w:jc w:val="left"/>
      </w:pPr>
      <w:r>
        <w:rPr>
          <w:rFonts w:ascii="Times New Roman" w:hAnsi="Times New Roman"/>
          <w:i w:val="0"/>
          <w:sz w:val="24"/>
        </w:rPr>
        <w:t xml:space="preserve">TASSI, J. M. et al. Effect of a Four-Week Soccer Training Program Using Stressful Constraints on Team Resilience and Precompetitive Anxiety. </w:t>
      </w:r>
      <w:r>
        <w:rPr>
          <w:rFonts w:ascii="Times New Roman" w:hAnsi="Times New Roman"/>
          <w:b/>
          <w:sz w:val="24"/>
        </w:rPr>
        <w:t>International Journal of Environmental Research and Public Health</w:t>
      </w:r>
      <w:r>
        <w:rPr>
          <w:rFonts w:ascii="Times New Roman" w:hAnsi="Times New Roman"/>
          <w:i w:val="0"/>
          <w:sz w:val="24"/>
        </w:rPr>
        <w:t>, v. 20, n. 2, e1620, 2023. DOI: https://doi.org/10.3390/ijerph20021620.</w:t>
      </w:r>
    </w:p>
    <w:p>
      <w:pPr>
        <w:spacing w:before="0" w:after="120" w:line="240" w:lineRule="auto"/>
        <w:ind w:left="0" w:firstLine="0"/>
        <w:jc w:val="left"/>
      </w:pPr>
      <w:r>
        <w:rPr>
          <w:rFonts w:ascii="Times New Roman" w:hAnsi="Times New Roman"/>
          <w:i w:val="0"/>
          <w:sz w:val="24"/>
        </w:rPr>
        <w:t xml:space="preserve">TERRY, P. C. et al. Influence of sex, age, and education on mood profile clusters. </w:t>
      </w:r>
      <w:r>
        <w:rPr>
          <w:rFonts w:ascii="Times New Roman" w:hAnsi="Times New Roman"/>
          <w:b/>
          <w:sz w:val="24"/>
        </w:rPr>
        <w:t>PLOS ONE</w:t>
      </w:r>
      <w:r>
        <w:rPr>
          <w:rFonts w:ascii="Times New Roman" w:hAnsi="Times New Roman"/>
          <w:i w:val="0"/>
          <w:sz w:val="24"/>
        </w:rPr>
        <w:t>, v. 16, n. 2, e0245341, 2021. DOI: https://doi.org/10.1371/journal.pone.0245341.</w:t>
      </w:r>
    </w:p>
    <w:p>
      <w:pPr>
        <w:spacing w:before="0" w:after="120" w:line="240" w:lineRule="auto"/>
        <w:ind w:left="0" w:firstLine="0"/>
        <w:jc w:val="left"/>
      </w:pPr>
      <w:r>
        <w:rPr>
          <w:rFonts w:ascii="Times New Roman" w:hAnsi="Times New Roman"/>
          <w:i w:val="0"/>
          <w:sz w:val="24"/>
        </w:rPr>
        <w:t xml:space="preserve">TERRY, P. C. et al. Validation of a Lithuanian-Language Version of the Brunel Mood Scale: The BRUMS-LTU. </w:t>
      </w:r>
      <w:r>
        <w:rPr>
          <w:rFonts w:ascii="Times New Roman" w:hAnsi="Times New Roman"/>
          <w:b/>
          <w:sz w:val="24"/>
        </w:rPr>
        <w:t>International Journal of Environmental Research and Public Health</w:t>
      </w:r>
      <w:r>
        <w:rPr>
          <w:rFonts w:ascii="Times New Roman" w:hAnsi="Times New Roman"/>
          <w:i w:val="0"/>
          <w:sz w:val="24"/>
        </w:rPr>
        <w:t>, v. 19, n. 8, e4867, 2022. DOI: https://doi.org/10.3390/ijerph19084867.</w:t>
      </w:r>
    </w:p>
    <w:p>
      <w:pPr>
        <w:spacing w:before="0" w:after="120" w:line="240" w:lineRule="auto"/>
        <w:ind w:left="0" w:firstLine="0"/>
        <w:jc w:val="left"/>
      </w:pPr>
      <w:r>
        <w:rPr>
          <w:rFonts w:ascii="Times New Roman" w:hAnsi="Times New Roman"/>
          <w:i w:val="0"/>
          <w:sz w:val="24"/>
        </w:rPr>
        <w:t xml:space="preserve">TERRY, P. C.; PARSONS-SMITH, R. L. Mood Profiling for Sustainable Mental Health among Athletes. </w:t>
      </w:r>
      <w:r>
        <w:rPr>
          <w:rFonts w:ascii="Times New Roman" w:hAnsi="Times New Roman"/>
          <w:b/>
          <w:sz w:val="24"/>
        </w:rPr>
        <w:t>Sustainability</w:t>
      </w:r>
      <w:r>
        <w:rPr>
          <w:rFonts w:ascii="Times New Roman" w:hAnsi="Times New Roman"/>
          <w:i w:val="0"/>
          <w:sz w:val="24"/>
        </w:rPr>
        <w:t>, v. 13, n. 11, e6116, 2021. DOI: https://doi.org/10.3390/su13116116.</w:t>
      </w:r>
    </w:p>
    <w:p>
      <w:pPr>
        <w:spacing w:before="0" w:after="120" w:line="240" w:lineRule="auto"/>
        <w:ind w:left="0" w:firstLine="0"/>
        <w:jc w:val="left"/>
      </w:pPr>
      <w:r>
        <w:rPr>
          <w:rFonts w:ascii="Times New Roman" w:hAnsi="Times New Roman"/>
          <w:i w:val="0"/>
          <w:sz w:val="24"/>
        </w:rPr>
        <w:t xml:space="preserve">TERRY, P.; LANE, A.; FOGARTY, G. Construct validity of the Profile of Mood States — Adolescents for use with adults. </w:t>
      </w:r>
      <w:r>
        <w:rPr>
          <w:rFonts w:ascii="Times New Roman" w:hAnsi="Times New Roman"/>
          <w:b/>
          <w:sz w:val="24"/>
        </w:rPr>
        <w:t>Psychology of Sport and Exercise</w:t>
      </w:r>
      <w:r>
        <w:rPr>
          <w:rFonts w:ascii="Times New Roman" w:hAnsi="Times New Roman"/>
          <w:i w:val="0"/>
          <w:sz w:val="24"/>
        </w:rPr>
        <w:t>, v. 4, n. 2, p. 125-139, 2003. DOI: https://doi.org/10.1016/S1469-0292(01)00035-8.</w:t>
      </w:r>
    </w:p>
    <w:p>
      <w:pPr>
        <w:spacing w:before="0" w:after="120" w:line="240" w:lineRule="auto"/>
        <w:ind w:left="0" w:firstLine="0"/>
        <w:jc w:val="left"/>
      </w:pPr>
      <w:r>
        <w:rPr>
          <w:rFonts w:ascii="Times New Roman" w:hAnsi="Times New Roman"/>
          <w:i w:val="0"/>
          <w:sz w:val="24"/>
        </w:rPr>
        <w:t xml:space="preserve">TREJO-SILVA, A. et al. Attacking performance analysis during 2-minute suspensions in female handball games at the Rio 2016 Olympic Games. </w:t>
      </w:r>
      <w:r>
        <w:rPr>
          <w:rFonts w:ascii="Times New Roman" w:hAnsi="Times New Roman"/>
          <w:b/>
          <w:sz w:val="24"/>
        </w:rPr>
        <w:t>Kinesiology</w:t>
      </w:r>
      <w:r>
        <w:rPr>
          <w:rFonts w:ascii="Times New Roman" w:hAnsi="Times New Roman"/>
          <w:i w:val="0"/>
          <w:sz w:val="24"/>
        </w:rPr>
        <w:t>, v. 57, n. 1, p. 3-14, 2025. DOI: https://doi.org/10.26582/k.57.1.1.</w:t>
      </w:r>
    </w:p>
    <w:p>
      <w:pPr>
        <w:spacing w:before="0" w:after="120" w:line="240" w:lineRule="auto"/>
        <w:ind w:left="0" w:firstLine="0"/>
        <w:jc w:val="left"/>
      </w:pPr>
      <w:r>
        <w:rPr>
          <w:rFonts w:ascii="Times New Roman" w:hAnsi="Times New Roman"/>
          <w:i w:val="0"/>
          <w:sz w:val="24"/>
        </w:rPr>
        <w:t xml:space="preserve">VALDESALICI, A. et al. Effects of non-functional overreaching and overtraining syndrome on psychological and cognitive functioning in elite athletes: A systematic review. </w:t>
      </w:r>
      <w:r>
        <w:rPr>
          <w:rFonts w:ascii="Times New Roman" w:hAnsi="Times New Roman"/>
          <w:b/>
          <w:sz w:val="24"/>
        </w:rPr>
        <w:t>Psychology of Sport and Exercise</w:t>
      </w:r>
      <w:r>
        <w:rPr>
          <w:rFonts w:ascii="Times New Roman" w:hAnsi="Times New Roman"/>
          <w:i w:val="0"/>
          <w:sz w:val="24"/>
        </w:rPr>
        <w:t>, v. 84, e103079, 2026. DOI: https://doi.org/10.1016/j.psychsport.2026.103079.</w:t>
      </w:r>
    </w:p>
    <w:p>
      <w:pPr>
        <w:spacing w:before="0" w:after="120" w:line="240" w:lineRule="auto"/>
        <w:ind w:left="0" w:firstLine="0"/>
        <w:jc w:val="left"/>
      </w:pPr>
      <w:r>
        <w:rPr>
          <w:rFonts w:ascii="Times New Roman" w:hAnsi="Times New Roman"/>
          <w:i w:val="0"/>
          <w:sz w:val="24"/>
        </w:rPr>
        <w:t xml:space="preserve">VEILLETTE, P.-L. et al. Elite Ice Hockey Players’ Well-Being: A Scoping Review. </w:t>
      </w:r>
      <w:r>
        <w:rPr>
          <w:rFonts w:ascii="Times New Roman" w:hAnsi="Times New Roman"/>
          <w:b/>
          <w:sz w:val="24"/>
        </w:rPr>
        <w:t>Sports</w:t>
      </w:r>
      <w:r>
        <w:rPr>
          <w:rFonts w:ascii="Times New Roman" w:hAnsi="Times New Roman"/>
          <w:i w:val="0"/>
          <w:sz w:val="24"/>
        </w:rPr>
        <w:t>, v. 13, n. 7, e225, 2025. DOI: https://doi.org/10.3390/sports13070225.</w:t>
      </w:r>
    </w:p>
    <w:p>
      <w:pPr>
        <w:spacing w:before="0" w:after="120" w:line="240" w:lineRule="auto"/>
        <w:ind w:left="0" w:firstLine="0"/>
        <w:jc w:val="left"/>
      </w:pPr>
      <w:r>
        <w:rPr>
          <w:rFonts w:ascii="Times New Roman" w:hAnsi="Times New Roman"/>
          <w:i w:val="0"/>
          <w:sz w:val="24"/>
        </w:rPr>
        <w:t xml:space="preserve">VLACHOPOULOS, S. P.; LANE, A. M.; TERRY, P. C. A Greek Translation of the Brunel Mood Scale: Initial Validation among Exercise Participants and Inactive Adults. </w:t>
      </w:r>
      <w:r>
        <w:rPr>
          <w:rFonts w:ascii="Times New Roman" w:hAnsi="Times New Roman"/>
          <w:b/>
          <w:sz w:val="24"/>
        </w:rPr>
        <w:t>Sports</w:t>
      </w:r>
      <w:r>
        <w:rPr>
          <w:rFonts w:ascii="Times New Roman" w:hAnsi="Times New Roman"/>
          <w:i w:val="0"/>
          <w:sz w:val="24"/>
        </w:rPr>
        <w:t>, v. 11, n. 12, e234, 2023. DOI: https://doi.org/10.3390/sports11120234.</w:t>
      </w:r>
    </w:p>
    <w:p>
      <w:pPr>
        <w:spacing w:before="0" w:after="120" w:line="240" w:lineRule="auto"/>
        <w:ind w:left="0" w:firstLine="0"/>
        <w:jc w:val="left"/>
      </w:pPr>
      <w:r>
        <w:rPr>
          <w:rFonts w:ascii="Times New Roman" w:hAnsi="Times New Roman"/>
          <w:i w:val="0"/>
          <w:sz w:val="24"/>
        </w:rPr>
        <w:t xml:space="preserve">WAGNER, H.; RADIC, V.; HINZ, M. Differences in game-based performance by playing position in young elite male team handball players. </w:t>
      </w:r>
      <w:r>
        <w:rPr>
          <w:rFonts w:ascii="Times New Roman" w:hAnsi="Times New Roman"/>
          <w:b/>
          <w:sz w:val="24"/>
        </w:rPr>
        <w:t>Frontiers in Sports and Active Living</w:t>
      </w:r>
      <w:r>
        <w:rPr>
          <w:rFonts w:ascii="Times New Roman" w:hAnsi="Times New Roman"/>
          <w:i w:val="0"/>
          <w:sz w:val="24"/>
        </w:rPr>
        <w:t>, v. 7, e1688078, 2025. DOI: https://doi.org/10.3389/fspor.2025.1688078.</w:t>
      </w:r>
    </w:p>
    <w:p>
      <w:pPr>
        <w:spacing w:before="0" w:after="120" w:line="240" w:lineRule="auto"/>
        <w:ind w:left="0" w:firstLine="0"/>
        <w:jc w:val="left"/>
      </w:pPr>
      <w:r>
        <w:rPr>
          <w:rFonts w:ascii="Times New Roman" w:hAnsi="Times New Roman"/>
          <w:i w:val="0"/>
          <w:sz w:val="24"/>
        </w:rPr>
        <w:t xml:space="preserve">WALSH, E. et al. Sleep and Circadian Interventions to Improve Athletes’ Mental Health, Mood and Well-Being: A Systematic Review and Meta-Analysis. </w:t>
      </w:r>
      <w:r>
        <w:rPr>
          <w:rFonts w:ascii="Times New Roman" w:hAnsi="Times New Roman"/>
          <w:b/>
          <w:sz w:val="24"/>
        </w:rPr>
        <w:t>Sports Medicine</w:t>
      </w:r>
      <w:r>
        <w:rPr>
          <w:rFonts w:ascii="Times New Roman" w:hAnsi="Times New Roman"/>
          <w:i w:val="0"/>
          <w:sz w:val="24"/>
        </w:rPr>
        <w:t>, v. 56, n. 4, p. 997-1011, 2026. DOI: https://doi.org/10.1007/s40279-025-02387-z.</w:t>
      </w:r>
    </w:p>
    <w:p>
      <w:pPr>
        <w:spacing w:before="0" w:after="120" w:line="240" w:lineRule="auto"/>
        <w:ind w:left="0" w:firstLine="0"/>
        <w:jc w:val="left"/>
      </w:pPr>
      <w:r>
        <w:rPr>
          <w:rFonts w:ascii="Times New Roman" w:hAnsi="Times New Roman"/>
          <w:i w:val="0"/>
          <w:sz w:val="24"/>
        </w:rPr>
        <w:t xml:space="preserve">WALSH, N. P. et al. Sleep and the athlete: narrative review and 2021 expert consensus recommendations. </w:t>
      </w:r>
      <w:r>
        <w:rPr>
          <w:rFonts w:ascii="Times New Roman" w:hAnsi="Times New Roman"/>
          <w:b/>
          <w:sz w:val="24"/>
        </w:rPr>
        <w:t>British Journal of Sports Medicine</w:t>
      </w:r>
      <w:r>
        <w:rPr>
          <w:rFonts w:ascii="Times New Roman" w:hAnsi="Times New Roman"/>
          <w:i w:val="0"/>
          <w:sz w:val="24"/>
        </w:rPr>
        <w:t>, v. 55, n. 7, p. 356-368, 2021. DOI: https://doi.org/10.1136/bjsports-2020-102025.</w:t>
      </w:r>
    </w:p>
    <w:p>
      <w:pPr>
        <w:spacing w:before="0" w:after="120" w:line="240" w:lineRule="auto"/>
        <w:ind w:left="0" w:firstLine="0"/>
        <w:jc w:val="left"/>
      </w:pPr>
      <w:r>
        <w:rPr>
          <w:rFonts w:ascii="Times New Roman" w:hAnsi="Times New Roman"/>
          <w:i w:val="0"/>
          <w:sz w:val="24"/>
        </w:rPr>
        <w:t xml:space="preserve">WANG, Y.; LEI, S.-M.; FAN, J. Effects of Mindfulness-Based Interventions on Promoting Athletic Performance and Related Factors among Athletes: A Systematic Review and Meta-Analysis of Randomized Controlled Trial. </w:t>
      </w:r>
      <w:r>
        <w:rPr>
          <w:rFonts w:ascii="Times New Roman" w:hAnsi="Times New Roman"/>
          <w:b/>
          <w:sz w:val="24"/>
        </w:rPr>
        <w:t>International Journal of Environmental Research and Public Health</w:t>
      </w:r>
      <w:r>
        <w:rPr>
          <w:rFonts w:ascii="Times New Roman" w:hAnsi="Times New Roman"/>
          <w:i w:val="0"/>
          <w:sz w:val="24"/>
        </w:rPr>
        <w:t>, v. 20, n. 3, e2038, 2023. DOI: https://doi.org/10.3390/ijerph20032038.</w:t>
      </w:r>
    </w:p>
    <w:p>
      <w:pPr>
        <w:spacing w:before="0" w:after="120" w:line="240" w:lineRule="auto"/>
        <w:ind w:left="0" w:firstLine="0"/>
        <w:jc w:val="left"/>
      </w:pPr>
      <w:r>
        <w:rPr>
          <w:rFonts w:ascii="Times New Roman" w:hAnsi="Times New Roman"/>
          <w:i w:val="0"/>
          <w:sz w:val="24"/>
        </w:rPr>
        <w:t xml:space="preserve">WATSON, D.; CLARK, L. A.; TELLEGEN, A. Development and validation of brief measures of positive and negative affect: The PANAS scales. </w:t>
      </w:r>
      <w:r>
        <w:rPr>
          <w:rFonts w:ascii="Times New Roman" w:hAnsi="Times New Roman"/>
          <w:b/>
          <w:sz w:val="24"/>
        </w:rPr>
        <w:t>Journal of Personality and Social Psychology</w:t>
      </w:r>
      <w:r>
        <w:rPr>
          <w:rFonts w:ascii="Times New Roman" w:hAnsi="Times New Roman"/>
          <w:i w:val="0"/>
          <w:sz w:val="24"/>
        </w:rPr>
        <w:t>, v. 54, n. 6, p. 1063-1070, 1988. DOI: https://doi.org/10.1037/0022-3514.54.6.1063.</w:t>
      </w:r>
    </w:p>
    <w:p>
      <w:pPr>
        <w:spacing w:before="0" w:after="120" w:line="240" w:lineRule="auto"/>
        <w:ind w:left="0" w:firstLine="0"/>
        <w:jc w:val="left"/>
      </w:pPr>
      <w:r>
        <w:rPr>
          <w:rFonts w:ascii="Times New Roman" w:hAnsi="Times New Roman"/>
          <w:i w:val="0"/>
          <w:sz w:val="24"/>
        </w:rPr>
        <w:t xml:space="preserve">WEAKLEY, J.; HALSON, S. L.; MUJIKA, I. Overtraining Syndrome Symptoms and Diagnosis in Athletes: Where Is the Research? A Systematic Review. </w:t>
      </w:r>
      <w:r>
        <w:rPr>
          <w:rFonts w:ascii="Times New Roman" w:hAnsi="Times New Roman"/>
          <w:b/>
          <w:sz w:val="24"/>
        </w:rPr>
        <w:t>International Journal of Sports Physiology and Performance</w:t>
      </w:r>
      <w:r>
        <w:rPr>
          <w:rFonts w:ascii="Times New Roman" w:hAnsi="Times New Roman"/>
          <w:i w:val="0"/>
          <w:sz w:val="24"/>
        </w:rPr>
        <w:t>, v. 17, n. 5, p. 675-681, 2022. DOI: https://doi.org/10.1123/ijspp.2021-0448.</w:t>
      </w:r>
    </w:p>
    <w:p>
      <w:pPr>
        <w:spacing w:before="0" w:after="120" w:line="240" w:lineRule="auto"/>
        <w:ind w:left="0" w:firstLine="0"/>
        <w:jc w:val="left"/>
      </w:pPr>
      <w:r>
        <w:rPr>
          <w:rFonts w:ascii="Times New Roman" w:hAnsi="Times New Roman"/>
          <w:i w:val="0"/>
          <w:sz w:val="24"/>
        </w:rPr>
        <w:t xml:space="preserve">YILMAZ, O. et al. Verbal encouragement in coaching: enhancing small-sided game performance in youth basketball players. </w:t>
      </w:r>
      <w:r>
        <w:rPr>
          <w:rFonts w:ascii="Times New Roman" w:hAnsi="Times New Roman"/>
          <w:b/>
          <w:sz w:val="24"/>
        </w:rPr>
        <w:t>Frontiers in Psychology</w:t>
      </w:r>
      <w:r>
        <w:rPr>
          <w:rFonts w:ascii="Times New Roman" w:hAnsi="Times New Roman"/>
          <w:i w:val="0"/>
          <w:sz w:val="24"/>
        </w:rPr>
        <w:t>, v. 16, e1512803, 2025. DOI: https://doi.org/10.3389/fpsyg.2025.1512803.</w:t>
      </w:r>
    </w:p>
    <w:p>
      <w:pPr>
        <w:spacing w:before="0" w:after="120" w:line="240" w:lineRule="auto"/>
        <w:ind w:left="0" w:firstLine="0"/>
        <w:jc w:val="left"/>
      </w:pPr>
      <w:r>
        <w:rPr>
          <w:rFonts w:ascii="Times New Roman" w:hAnsi="Times New Roman"/>
          <w:i w:val="0"/>
          <w:sz w:val="24"/>
        </w:rPr>
        <w:t xml:space="preserve">ZHANG, J. et al. The effect of mindfulness training on the psychological state of high-level athletes: Meta analysis and system evaluation research. </w:t>
      </w:r>
      <w:r>
        <w:rPr>
          <w:rFonts w:ascii="Times New Roman" w:hAnsi="Times New Roman"/>
          <w:b/>
          <w:sz w:val="24"/>
        </w:rPr>
        <w:t>Journal of Sports Sciences</w:t>
      </w:r>
      <w:r>
        <w:rPr>
          <w:rFonts w:ascii="Times New Roman" w:hAnsi="Times New Roman"/>
          <w:i w:val="0"/>
          <w:sz w:val="24"/>
        </w:rPr>
        <w:t>, v. 43, n. 6, p. 600-622, 2025. DOI: https://doi.org/10.1080/02640414.2025.2468997.</w:t>
      </w:r>
    </w:p>
    <w:p>
      <w:pPr>
        <w:spacing w:before="0" w:after="120" w:line="240" w:lineRule="auto"/>
        <w:ind w:left="0" w:firstLine="0"/>
        <w:jc w:val="left"/>
      </w:pPr>
      <w:r>
        <w:rPr>
          <w:rFonts w:ascii="Times New Roman" w:hAnsi="Times New Roman"/>
          <w:i w:val="0"/>
          <w:sz w:val="24"/>
        </w:rPr>
        <w:t xml:space="preserve">ZURITA ORTEGA, F. et al. Aspectos psicosomáticos implicados en las lesiones deportivas. </w:t>
      </w:r>
      <w:r>
        <w:rPr>
          <w:rFonts w:ascii="Times New Roman" w:hAnsi="Times New Roman"/>
          <w:b/>
          <w:sz w:val="24"/>
        </w:rPr>
        <w:t>Cuadernos de Psicología del Deporte</w:t>
      </w:r>
      <w:r>
        <w:rPr>
          <w:rFonts w:ascii="Times New Roman" w:hAnsi="Times New Roman"/>
          <w:i w:val="0"/>
          <w:sz w:val="24"/>
        </w:rPr>
        <w:t>, v. 14, n. 2, p. 81-88, 2014. DOI: https://doi.org/10.4321/s1578-84232014000200009.</w:t>
      </w:r>
    </w:p>
    <w:p>
      <w:pPr>
        <w:sectPr>
          <w:headerReference w:type="default" r:id="rId9"/>
          <w:pgSz w:w="11906" w:h="16838"/>
          <w:pgMar w:top="1701" w:right="1134" w:bottom="1134" w:left="1701" w:header="1134" w:footer="720" w:gutter="0"/>
          <w:cols w:space="720"/>
          <w:docGrid w:linePitch="360"/>
        </w:sectPr>
      </w:pPr>
    </w:p>
    <w:p>
      <w:pPr>
        <w:spacing w:before="0" w:after="120" w:line="360" w:lineRule="auto"/>
        <w:ind w:left="0" w:firstLine="0"/>
        <w:jc w:val="center"/>
      </w:pPr>
      <w:r>
        <w:rPr>
          <w:rFonts w:ascii="Times New Roman" w:hAnsi="Times New Roman"/>
          <w:b/>
          <w:sz w:val="24"/>
        </w:rPr>
        <w:t>APÊNDICE A – EXTRAÇÃO DOS DADOS DOS ESTUDOS INCLUÍDOS</w:t>
      </w:r>
    </w:p>
    <w:p>
      <w:pPr>
        <w:keepNext/>
        <w:spacing w:before="120" w:after="60" w:line="240" w:lineRule="auto"/>
        <w:ind w:left="0" w:firstLine="0"/>
        <w:jc w:val="both"/>
      </w:pPr>
      <w:r>
        <w:rPr>
          <w:rFonts w:ascii="Times New Roman" w:hAnsi="Times New Roman"/>
          <w:b/>
          <w:sz w:val="20"/>
        </w:rPr>
        <w:t>Quadro A1</w:t>
      </w:r>
      <w:r>
        <w:rPr>
          <w:rFonts w:ascii="Times New Roman" w:hAnsi="Times New Roman"/>
          <w:i w:val="0"/>
          <w:sz w:val="20"/>
        </w:rPr>
        <w:t xml:space="preserve"> – Extração dos dados dos estudos incluídos: identificação, país, amostra, delineamento, contexto e momento, instrumento e dimensões, variáveis e intervenção, principais resultados, direção do achado e qualidade metodológica</w:t>
      </w:r>
    </w:p>
    <w:tbl>
      <w:tblPr>
        <w:jc w:val="center"/>
        <w:tblLayout w:type="fixed"/>
        <w:tblLook w:firstColumn="1" w:firstRow="1" w:lastColumn="0" w:lastRow="0" w:noHBand="0" w:noVBand="1" w:val="04A0"/>
        <w:tblW w:w="14004" w:type="dxa"/>
        <w:tblLayout w:type="fixed"/>
      </w:tblPr>
      <w:tblGrid>
        <w:gridCol w:w="1360"/>
        <w:gridCol w:w="793"/>
        <w:gridCol w:w="1587"/>
        <w:gridCol w:w="1701"/>
        <w:gridCol w:w="1587"/>
        <w:gridCol w:w="1701"/>
        <w:gridCol w:w="3402"/>
        <w:gridCol w:w="907"/>
        <w:gridCol w:w="963"/>
      </w:tblGrid>
      <w:tr>
        <w:trPr>
          <w:tblHeader w:val="true"/>
        </w:trPr>
        <w:tc>
          <w:tcPr>
            <w:tcW w:w="1360"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Estudo</w:t>
            </w:r>
          </w:p>
        </w:tc>
        <w:tc>
          <w:tcPr>
            <w:tcW w:w="793"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País</w:t>
            </w:r>
          </w:p>
        </w:tc>
        <w:tc>
          <w:tcPr>
            <w:tcW w:w="1587"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Amostra</w:t>
            </w:r>
          </w:p>
        </w:tc>
        <w:tc>
          <w:tcPr>
            <w:tcW w:w="1701"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Delineamento, contexto e momento</w:t>
            </w:r>
          </w:p>
        </w:tc>
        <w:tc>
          <w:tcPr>
            <w:tcW w:w="1587"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Instrumento e dimensões</w:t>
            </w:r>
          </w:p>
        </w:tc>
        <w:tc>
          <w:tcPr>
            <w:tcW w:w="1701"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Outras variáveis e intervenção</w:t>
            </w:r>
          </w:p>
        </w:tc>
        <w:tc>
          <w:tcPr>
            <w:tcW w:w="3402"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Principais resultados sobre o humor</w:t>
            </w:r>
          </w:p>
        </w:tc>
        <w:tc>
          <w:tcPr>
            <w:tcW w:w="907"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Direção</w:t>
            </w:r>
          </w:p>
        </w:tc>
        <w:tc>
          <w:tcPr>
            <w:tcW w:w="963"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Qualidade Q1 a Q6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Farzanegi et al. ([2008?])</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Irã</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n.r.; feminino; n.r.; universitário;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quase-experimental; competição oficial. Momento: antes e depois da competição (cortisol também durante)</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n.r.). Dimensões: n.r.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cortisol salivar; resultado da partida (vitória ou derrota).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Segundo o resumo, o escore do POMS aumentou de forma significativa na competição em relação ao momento pré. O cortisol salivar subiu após a partida e a variação dependeu do resultado do jogo. O resumo não traz valores numéricos acessíveis.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3/6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Bresciani et al. (2010)</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14; masculino; 20,1 ± 2,5 anos; nacional;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período competitivo. Momento: cinco sessões na temporada de 40 semanas (T1 antes do período preparatório; T2 fim do preparatório; T3 e T4 fim do 1º e do 2º período competitivo; T5 após 7 semanas de recuperação), entre 9h e 11h, 24 h após o treino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POMS-65 (versão espanhola). Dimensões: tensão, depressão, raiva, vigor, fadiga, confusão, PTH</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RESTQ-Sport; carga de treino (PSE da sessão); proteína C-reativa; GSH, GSSG e GSH/GSSG; mieloperoxidase; hemograma; creatina quinase.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PTH não mudou ao longo da temporada (T1 119,0 ± 27,3; T3 129,0 ± 42,9; T5 119,2 ± 29,1). A raiva aumentou em T3 (14,1 ± 10,1 contra 8,7 ± 6,9 em T1; p &lt; 0,05). O vigor aumentou em T4 (20,6 ± 4,4 contra 19,1 ± 3,8; p &lt; 0,05). Subescalas do RESTQ-Sport correlacionaram-se com a carga (Estar em Forma R² = 0,93).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Rocha, Lopes e Moraes (2010)</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Brasil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18; misto; n.r.; n.r.;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laboratório. Momento: durante a corrida em esteira de 20 min, 11 vezes por sessão (3º ao 20º minuto), em quatro sessões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Feeling Scale (Escala de Afeto de Hardy e Rejeski, 1989; +5 a -5). Dimensões: valência afetiva (prazer ou desprazer)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PSE (Borg CR-10); frequência cardíaca; cortisol salivar. Intervenção: Manipulação verbal da informação sobre a duração da corrida a 70% da velocidade de pico: linha de base, fragmentada, superestimada e indefinida.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afeto apresentou diferença significativa apenas nas sessões fragmentada e superestimada, nos minutos após o 10º minuto, momento da manipulação verbal da duração. O cortisol subiu no 11º minuto nessas sessões (11,59 ± 1,92 e 10,69 ± 1,48 contra 9,26 ± 1,54 nmol/l na linha de base; p &lt; 0,05). Os escores de afeto aparecem só em figura, sem valores numéricos no texto.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Schiavini e Arena (2010)</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Brasil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51; feminino; 18 a 33 anos; universitário;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competição oficial. Momento: cerca de 40 a 45 min antes de cada um dos dois jogos da semifinal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LEA-RI (Lista de Estados de Ânimo Reduzida e Ilustrada; Volp, 2000). Dimensões: 14 adjetivos de estados de ânimo, agrupados em positivos e negativos</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resultado da partida (placar).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As equipes vencedoras A e C tiveram mais respostas de intensidade "muito" nos adjetivos positivos (31 % e 28 %) que as adversárias B e D (22 % e 19 %). Nos adjetivos negativos, A teve 0 %, B 4 %, C 7 % e D 4 %. A análise foi só descritiva, sem teste estatístico. As equipes com ânimo mais positivo venceram (22 x 11 e 21 x 10).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Descritivo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Al-Wattar e Al-Badrane (2014)</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Iraque</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6; n.r.; 18 a 20 anos; formação/juvenil;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quase-experimental; treinamento. Momento: antes e depois do programa (detalhe n.r. no resumo)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BRUMS (Brunel Mood Scale; Terry et al., 2003; versão árabe adaptada). Dimensões: tensão, depressão, raiva, vigor, fadiga, confusão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n.r.. Intervenção: Programa de treinamento psicológico com estratégias de autorregulação do humor, aplicado a jovens jogadores do Mosul Sports Club.</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Segundo o resumo, o programa reduziu os escores dos eixos negativos da escala e elevou o eixo positivo (vigor) no grupo experimental. Os autores consideram o programa muito eficaz para converter humor negativo em positivo. Valores numéricos n.r. no resumo.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3/6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Zurita Ortega et al. (2014)</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48; feminino; 18,8 ± 0,20 anos (faixa de 16 a 26 anos); nacional;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período competitivo. Momento: Uma vez por mês, no último dia de cada mês, ao longo da temporada (novembro de 2010 a maio de 2011), no pavilhão de treino.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espanhola de Andrade, Arce e Seoane, 2002; 48 itens). Dimensões: cólera, depressão, tensão, fadiga, vigor, amizade (escore total usado na análise)</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ocorrência de lesões (autorregistro), tempo de inatividade, ansiedade traço/estado (STAI), ansiedade precompetitiva (CSAI-2R), apoio social familiar, idade, categoria, posição, anos de competição.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escore do POMS entrou num conjunto de variáveis físicas e psicológicas numa regressão logística por passos. O conjunto classificou corretamente 88,89% dos casos de lesão. O efeito individual do humor não foi relatado. O modelo só com variáveis psicológicas excluiu o POMS e atingiu 75,51%.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Não determinável</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Montes e Gomes (2014)</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Portugal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14; masculino; 18 a 35 anos; nacional;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período competitivo. Momento: três momentos: M1 início da temporada, M2 após mesociclo preparatório, M3 no período competitivo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n.r.). Dimensões: tensão (demais subescalas n.r. no resumo)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resistência anaeróbia (Yo-Yo Intermittent Recovery Test).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escala tensão do POMS foi significativamente maior em M1 que em M2 e M3. A resistência anaeróbia não variou de forma relevante. Não houve correlação entre a variação da condição física e os estados de humor. O resumo não traz valores numéricos.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Pereira et al. (2014)</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Brasil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7; feminino; 14 a 16 anos (amostra total); escolar;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treinamento. Momento: uma vez, antes do treino, após 48 h sem treinamento; referência aos últimos sete dias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reduzida adaptada (escala de 0 a 4). Dimensões: tensão, depressão, hostilidade, vigor, fadiga, confusão; PTH</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CK, LDH, PCR-us, atividade nervosa autonômica cardíaca (VFC, LF/HF), sonolência diurna (Escala de Epworth), padrão de sono, carga de treino e atividades escolares.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As sete atletas de handebol tiveram PTH de 108,6 ± 14,71, sem diferença significativa em relação ao valor de referência de 100 pontos (teste t de uma amostra; p = 0,1740). Cinco delas (70%) tiveram PTH acima da referência. Fadiga 9,1 ± 4,5 e vigor 16,6 ± 4,4. Os meninos do basquetebol (n = 11) tiveram PTH de 97,5 ± 6,8 (p = 0,2410).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Sem efeito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Lagner et al. (2015)</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Alemanha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61; masculino; 30,46 ± 8,29 anos (amostra analisada); 31,63 ± 8,63 anos (80 testados); amador;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quase-experimental; competição oficial. Momento: Quatro medidas em cada condição: 30 min antes do jogo ou treino, logo após, durante e ao final da bateria cognitiva; após jogo vencido e após treino, em ordem contrabalançada.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Self-Assessment Manikin (SAM), subescala de estado afetivo (escala de 9 pontos). Dimensões: valência afetiva (estado afetivo positivo a negativo)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memória episódica, memória de curto prazo numérica e visuoespacial, memória prospectiva, fluência verbal, flexibilidade cognitiva, pressão arterial sistólica, motivação, interesse, dificuldade percebida.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humor foi mais positivo após o jogo vencido que após o treino (F(1,180) = 30,48; p &lt; 0,001; η2 = 0,34), com efeito do momento (F = 13,20; p &lt; 0,001) e interação (F = 11,86; p &lt; 0,001). O humor piorou durante a testagem nas duas condições, mas ficou mais positivo após o jogo em todos os momentos. A memória episódica e a de curto prazo foram piores após o jogo (por exemplo, memória episódica de longo prazo F(1,60) = 14,26; p &lt; 0,001; ηp2 = 0,19), e o controle executivo não diferiu. Com o humor como covariável, as diferenças de memória deixaram de ser significativas.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Buchheit (2015)</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Não relatado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37; n.r.; n.r. (adolescentes); formação/juvenil;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período competitivo. Momento: 11 ocasiões mensais, de setembro a maio, na temporada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n.r.). Dimensões: n.r. no resumo (o resumo cita humor e fadiga percebidos)</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FC de repouso, VFC, sprint de 10 m, salto com contramovimento, 30-15 Intermittent Fitness Test; carga semanal de treino (10 ± 2,1 h/semana).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sensibilidade da FC e das medidas psicométricas (POMS) para detectar mudanças no desempenho físico foi baixa (&lt; 20%). A especificidade foi alta (&gt; 75%) para todos os marcadores e testes. As diferenças de desempenho entre jogadores com melhor ou pior estado de treino estimado foram quase certamente triviais. O autor conclui que medidas mensais de humor e fadiga percebidos têm limitação para prever mudanças de desempenho na temporada.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Sem efeito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3/6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Khazdozi, Bahari e Ashayeri (2017)</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Irã</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24; feminino; n.r.; nacional;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quase-experimental; treinamento. Momento: Antes e depois do programa de aquecimento (pré-teste e pós-teste).</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Questionário de humor de atletas atribuído a Brooms (versão persa, 32 itens, 8 componentes; provável adaptação da BRUMS). Dimensões: estresse, vivacidade, confusão, fadiga, felicidade, calamidade, depressão, raiva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motivação para o treino (questionário de motivação esportiva, 28 itens). Intervenção: Aquecimento com música (grupo experimental, n = 12) contra aquecimento sem música (grupo controle, n = 12); duração e tipo de música não descritos.</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variação do humor do pré para o pós-teste diferiu entre os grupos (Mann-Whitney U = 22; Z = -2,899; p = 0,003). Não houve diferença na motivação para o treino (U = 46; Z = -1,503; p = 0,143). Médias e desvios do humor não foram relatados em tabela.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2/6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Obregón Sibón et al. (2017)</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Não relatado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12; masculino; 28,46 ± 5,48 anos; n.r.;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quase-experimental; competição oficial. Momento: antes e depois de uma partida de handebol (pós-teste após o jogo)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forma breve (questionário de McNair). Dimensões: fadiga, vigor, tensão (outras n.r. no resumo)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limiar mecânico nociceptivo (algometria de pressão) dos músculos do ombro.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Após a partida, a fadiga aumentou (t = -4,408; p &lt; 0,001) e o vigor mudou de forma significativa (t = -4,259; p &lt; 0,001); a tensão não mudou (t = -0,088; p = 0,931). O limiar mecânico nociceptivo do ombro aumentou (hipoalgesia). A fadiga psicológica teve correlação positiva e o vigor correlação negativa com o limiar nociceptivo após o jogo.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3/6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Assunção Carvalho et al. (2018)</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Brasil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25; masculino; 18,6 ± 2,4 anos (faixa de 16 a 23 anos); formação/juvenil;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ensaio randomizado; treinamento. Momento: No início e após 28 dias de suplementação.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adaptado ao esporte por Raglin e Morgan (1994), 36 itens. Dimensões: tensão, depressão, hostilidade, fadiga, confusão, vigor, perturbação total do humor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MDA, capacidade antioxidante total, CK, LDH, VO2max (20 m shuttle run), salto vertical, RAST, índice de fadiga, composição corporal, ingestão alimentar. Intervenção: Néctar de Syzygium cumini (jamelão), 10 mL/kg/dia antes e após o treino por 28 dias, contra bebida placebo com maltodextrina; duplo-cego.</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Na perturbação total do humor houve efeito do tempo (F = 10,509; p = 0,004; η2 = 0,31) e interação (F = 5,336; p = 0,030). Só o grupo suplementado melhorou (100,7 ± 17,0 para 89,7 ± 11,6; p = 0,004), sem diferença entre grupos. A confusão caiu só no grupo suplementado (-1,7 para -3,8; interação F = 10,344; p = 0,004), sem diferença entre grupos (p = 0,159). A variação da CK correlacionou-se com a da perturbação do humor no grupo suplementado (r = 0,74; p = 0,006).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Durai e Athisayaraj (2018)</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Índia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12; masculino; 18 a 23 anos; universitário;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n.r.. Momento: n.r.</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(manual de McNair, Lorr e Droppleman). Dimensões: tensão, depressão, raiva, vigor, fadiga, confusão (escore total)</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modalidade (comparação com 12 jogadores de voleibol).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escore de humor dos jogadores de handebol (85,12 ± 9,31) foi maior que o dos jogadores de voleibol (80,23 ± 7,12), com t = 4,52 (gl = 22; p &lt; 0,05). Os autores concluem que os jogadores de handebol foram melhores no humor.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2/6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Padilhas et al. (2018)</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Brasil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17; feminino; 27,1 ± 3,8 anos; elite/profissional; praia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treinamento. Momento: Antes do início da intertemporada (E1), no 8º dia (E2) e no 18º dia (E3) do período de treino pré-competitivo.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não especificada no resumo; referências citam a versão reduzida portuguesa de Viana, Almeida e Santos, 2001). Dimensões: fadiga, perturbação total do humor (demais subescalas n.r. no resumo)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CK, LDH, modulação autonômica cardíaca (ECG), carga de treino modulada. Intervenção: Cargas de treino ajustadas pela comissão técnica conforme a resposta fisiológica individual por 18 dias.</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fadiga do POMS subiu de E1 (2,06 ± 2,61) para E2 (4,82 ± 4,05) e E3 (5,5 ± 4,8). A perturbação total do humor não mudou. A CK aumentou de E1 para E2 (131,1 para 212,9) e a LDH caiu de E2 para E3.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3/6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Lisenchuk et al. (2019)</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Ucrânia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32; feminino; 19 a 21 anos; elite/profissional;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treinamento. Momento: Uma avaliação por atleta, conforme a fase do ciclo ovariano-menstrual em que se encontrava (menstrual n = 5; pós-menstrual n = 7; ovulatória n = 3; pós-ovulatória n = 8; pré-menstrual n = 9), durante o processo de treino.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Método EMPA (sentimento emocional, humor e atividade física; equivalente ao teste SAN). Dimensões: emoção (bem-estar), humor, atividade física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percepção subjetiva de sintomas (questionário de Giessen), fase do ciclo ovariano-menstrual.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humor ficou mais baixo nas fases menstrual (4,24 ± 0,10), ovulatória (4,17 ± 0,14) e pré-menstrual (4,11 ± 0,16) que nas fases pós-menstrual e pós-ovulatória (5,31). Os autores classificam esses valores como abaixo da norma, sem teste entre fases. O coeficiente de contingência entre nível do EMPA e fase do ciclo foi C = 0,742 (p ≤ 0,001). O estado de saúde correlacionou-se inversamente com a intensidade das queixas (Rxy = -0,72; p &lt; 0,05).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1/6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Mon-López et al. (2020)</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187; misto; homens 23,61 ± 6,19 anos; mulheres 22,65 ± 4,62 anos; elite/profissional e nacional (77 profissionais e 110 não profissionais, todos federados);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período de isolamento pela Covid-19, sem treino coletivo nem competição. Momento: uma vez, por questionário on-line, entre 16 e 26 de abril de 2020, após cerca de 35 dias de confinamento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espanhola validada, 30 itens: Q35 a Q64). Dimensões: tensão-ansiedade, depressão, raiva, vigor, fadiga, amizade</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PSE do treino, dias e horas de treino, horas e qualidade do sono (antes e durante o isolamento), inteligência emocional (WLEIS-S), resiliência (BRS).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As mulheres relataram mais depressão (8,26 ± 3,64 contra 6,75 ± 4,00; p = 0,012) e mais fadiga (8,65 contra 7,50; p = 0,045), e os homens mais vigor (11,98 contra 10,74; p = 0,03). Na regressão hierárquica, depressão (β = 0,25), vigor (β = 0,24) e fadiga (β = -0,28) predisseram os dias de treino no confinamento (R² = 0,11; p &lt; 0,001), com padrão semelhante para as horas de treino (R² = 0,09; p = 0,01). A tensão-ansiedade predisse menor qualidade do sono (β = -0,25; p = 0,01) e a amizade predisse menos horas de sono (β = -0,22; p = 0,03). O humor não predisse a PSE no primeiro passo do modelo (p = 0,176).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Reigal et al. (2020)</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181; misto; 25,68 ± 5,95 anos; nacional (equipes classificadas para a Copa da Espanha de 2016); praia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competição oficial. Momento: uma vez, 24 h antes do primeiro jogo da Copa da Espanha de handebol de praia de 2016</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espanhola de Arce, Andrade e Seoane, 65 adjetivos, escala de 0 a 4). Dimensões: tensão, depressão, raiva, vigor, fadiga (confusão e amizade previstas no instrumento, mas não relatadas)</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perfil psicológico esportivo (SPPI/IPED), ansiedade competitiva e autoconfiança (CSAI-2), autoeficácia geral (GSES).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As médias do POMS na amostra total foram tensão 1,72 ± 0,84, vigor 2,91 ± 0,68, depressão 0,62 ± 0,81, raiva 1,14 ± 0,77 e fadiga 1,16 ± 0,93. As habilidades psicológicas correlacionaram-se de forma negativa com as dimensões negativas do humor e de forma positiva com o vigor (por exemplo, controle de enfrentamento negativo e tensão, r = -0,39; p &lt; 0,001). Nas regressões, o controle de enfrentamento negativo predisse a tensão (β = -0,462; R² = 0,21), o nível motivacional e o controle atitudinal predisseram o vigor (R² = 0,22), e a autoconfiança predisse depressão (β = -0,275) e fadiga (β = -0,317).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Soto, García-Herrero e Carcedo (2020)</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Chile</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39; feminino; 19,97 ± 3,60 anos; elite/profissional (seleções nacionais adulta, júnior e juvenil do Chile);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ensaio randomizado; laboratório (tarefa experimental de arremesso). Momento: antes e depois da tarefa de arremesso com feedback</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PANAS (versão espanhola, 20 itens). Dimensões: afeto positivo, afeto negativo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vitalidade subjetiva, valorização da competência, competência percebida, motivação autônoma, velocidade e precisão do arremesso. Intervenção: feedback verbal pré-estabelecido durante 30 arremessos: positivo (n = 13), negativo (n = 13) ou ausente (n = 13)</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Entre as variáveis psicológicas, só o afeto positivo teve interação feedback × tempo significativa (F = 4,63; p &lt; 0,05). O grupo com feedback negativo reduziu o afeto positivo (mediana 4,20 para 3,70; delta de Cliff = 0,36; p &lt; 0,01), sem mudança nos grupos com feedback positivo ou sem feedback. O afeto negativo não variou (interação F = 1,70; n.s.).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6/6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Batalla-Gavalda et al. (2021)</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16; feminino; 15,94 ± 0,68 anos; formação/juvenil;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confinamento domiciliar por COVID-19 (treino e competição suspensos). Momento: semana 1 (início do confinamento domiciliar), semana 6 (início do confinamento parcial) e semana 10 (fim do confinamento parcial)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POMS-58 (versão espanhola). Dimensões: tensão, depressão, raiva, vigor, fadiga, confusão, PTH</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sexo e modalidade (atletismo, handebol, natação) como fatores de comparação.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Nas handebolistas (Tabela S2), a PTH foi 136,94 ± 26,62 na semana 1, 139,81 ± 32,33 na semana 6 e 135,54 ± 33,26 na semana 10, sempre maior que no atletismo (pBonferroni = 0,024; 0,016; 0,013). O handebol teve mais depressão que o atletismo nas semanas 6 e 10 (10,85 ± 8,51 na semana 10; pBonferroni = 0,012), mais confusão nas semanas 6 e 10 (pBonferroni = 0,001) e mais raiva na semana 6 (14,53 ± 9,32; p = 0,005 contra atletismo e p = 0,030 contra natação). A tensão foi maior que na natação na semana 6 (p = 0,020); vigor e fadiga não diferiram entre esportes. A variação temporal dentro do handebol não foi testada.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García-Herrero et al. (2022)</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73; feminino; 23,13 ± 4,05 anos; elite/profissional (Liga Iberdrola, primeira divisão espanhola);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ensaio randomizado; laboratório (tarefa experimental de arremesso). Momento: antes e depois da tarefa de arremesso com feedback</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PANAS (versão espanhola, 20 itens). Dimensões: afeto positivo, afeto negativo (bem-estar subjetivo)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satisfação com o treinador, valorização e percepção de competência, motivação autônoma, amotivação, velocidade e precisão do arremesso. Intervenção: feedback comparativo pré-estabelecido (positivo, negativo ou ausente) durante 21 arremessos, analisado segundo satisfação baixa ou alta com o treinador</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Não houve efeito significativo de satisfação, feedback, tempo ou interações sobre o afeto positivo (por exemplo, F × T = 1,45) nem sobre o afeto negativo (F × T = 0,04). As medianas do afeto positivo ficaram entre 3,30 e 4,10 e as do afeto negativo entre 1,20 e 1,50 nos seis grupos. Os efeitos do feedback apareceram só na competência, na motivação autônoma e na velocidade do arremesso, nas atletas com baixa satisfação com o treinador.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Sem efeito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6/6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Ghazel et al. (2022)</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Tunísia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14; feminino; 21 a 24 anos; n.r.;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laboratório. Momento: em cada fase do ciclo menstrual (menstrual, folicular e lútea)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n.r.). Dimensões: ansiedade (tensão), raiva e confusão relatadas no resumo; demais dimensões n.r.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squat jump, salto com contramovimento, agilidade (T-test), sprints repetidos, PSE, condição com e sem música. Intervenção: música de ritmo rápido (140 bpm) contra ausência de música, em ordem aleatória, em cada fase do ciclo menstrual</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ansiedade, a raiva e a confusão foram maiores na fase menstrual que nas fases lútea e folicular. O resumo não informa médias, valores de p nem tamanho de efeito. A fase do ciclo não alterou o desempenho físico.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2/6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Sahli et al. (2022)</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Tunísia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20; masculino; 16 ± 1 anos; escolar (alunos do ensino secundário sem experiência competitiva no handebol);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aula de educação física (jogo reduzido de passes). Momento: no intervalo de recuperação entre as duas séries de 10 min e após o jogo, em cada uma das três sessões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Feeling Scale (Hardy e Rejeski, 1989; -5 a +5). Dimensões: valência afetiva (prazer e desprazer)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número de passes, PSE (Borg CR10). Intervenção: três condições em ordem aleatória: encorajamento verbal combinado com instrução técnica, só instrução técnica e controle sem instrução</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Para PSE e Feeling Scale houve efeito de condição (F ≥ 9,2; p &lt; 0,001; ηp² = 0,32), de tempo (F ≥ 16,2; p &lt; 0,001; ηp² ≥ 0,46) e de interação (F ≥ 4,5; p ≤ 0,018; ηp² ≥ 0,19). A Feeling Scale foi maior na condição combinada que no controle durante a recuperação. Nas condições de instrução técnica e controle o escore caiu da recuperação para o pós-jogo, mas não na condição combinada.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Essid et al. (2022)</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Tunísia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18; masculino; n.r. (título: jovens); elite/profissional (jovens de elite);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(ordem contrabalançada de três horários: 10h, 14h e 18h); n.r. (sessões de teste). Momento: antes dos testes físicos, em cada horário (10h, 14h e 18h)</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(versão n.r. no resumo). Dimensões: ansiedade, raiva, confusão, depressão, fadiga, vigor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questionário de Hooper; tempo de reação simples e de escolha; atenção seletiva (Stroop); RSA; velocidade de arremesso; temperatura oral. Intervenção: não se aplica (manipulação do horário do dia)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Os estados de humor negativos (ansiedade, raiva, confusão, depressão e fadiga) foram maiores pela manhã. O vigor foi maior à noite. O resumo não traz médias nem valores de p.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Lujic, Prskalo e Bratko (2023)</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Croácia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407; n.r.; 13 a 14 anos (coortes nascidas em 2006 e 2007); formação/juvenil (clubes e escolas de handebol, treino ao menos 4 vezes por semana há pelo menos 1 ano);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treinamento. Momento: uma vez, antes ou depois do treino nos clubes; o PANAS refere-se à última semana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PANAS (adaptação croata de Križanić, 16 itens, escala de 1 a 7). Dimensões: afeto positivo, afeto negativo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satisfação com a vida (Life Satisfaction Scale); comparação com 349 adolescentes inativos.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Os handebolistas relataram mais afeto positivo que os inativos (4,71 ± 1,06 contra 4,24 ± 1,10; t = 6,07; p &lt; 0,001; d = 0,42). Os handebolistas relataram menos afeto negativo (2,82 ± 1,03 contra 3,37 ± 1,17; t = -6,95; p &lt; 0,001; d = 0,48). A satisfação com a vida também foi maior nos handebolistas (82,54 contra 75,02; d = 0,55).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Miralles-Amorós et al. (2023)</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21; feminino; 22 ± 4 anos; elite/profissional (campeãs da Supercopa e da Copa da Rainha);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ensaio randomizado; pré-temporada e início do período competitivo (agosto a novembro de 2022). Momento: três medidas: PRE (agosto de 2022), PER (meio da intervenção) e POST (novembro de 2022, semana 12)</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 abreviado (30 itens, escala de 0 a 4). Dimensões: tensão, depressão, raiva, vigor, fadiga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comportamento alimentar (EAT-26), imagem corporal (BSQ), ingestão alimentar, peso, IMC, disponibilidade energética. Intervenção: plano alimentar personalizado por 12 semanas: dieta livre com recomendações (controle), dieta mediterrânea ou dieta rica em antioxidantes (7 atletas por grupo)</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Não houve diferenças entre os planos alimentares em nenhuma dimensão do POMS, nem mudanças em vigor e fadiga. Tensão e raiva caíram em alguns grupos só nos testes post hoc sem correção (por exemplo, raiva na dieta rica em antioxidantes, PER para POST, p = 0,007), sem significância com Tukey ou Bonferroni. A depressão variou no tempo em todos os grupos, mas só duas comparações resistiram à correção (dieta livre PRE para PER, p = 0,041; dieta mediterrânea PER para POST, p = 0,040).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Ivanović e Ivanović (2023)</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Sérvia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132; n.r.; 18,25 ± 0,90 anos no resumo; 18,25 ± 2,20 anos no método (faixa 17 a 21); formação/juvenil;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treinamento. Momento: aplicação única durante treino regular, em fevereiro de 2023; o PANAS refere os últimos dias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PANAS (versão sérvia, Mihić et al., 2014). Dimensões: afeto positivo, afeto negativo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avaliação objetiva e subjetiva da saúde, solidão (DJGLS), satisfação com a vida (SWLS), depressão, ansiedade e estresse (DASS-21).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As médias foram 15,08 ± 3,25 para afeto positivo e 7,05 ± 3,01 para afeto negativo. Na regressão múltipla, a solidão foi preditor significativo do afeto positivo (β = 0,29 com saúde objetiva; β = -0,32 com saúde subjetiva) e do afeto negativo (β = 0,27; β = -0,28). A avaliação subjetiva da saúde predisse o afeto positivo (β = -0,13) e interagiu com a solidão (β = 0,19). A saúde objetiva não predisse os afetos.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Morenas-Aguilar et al. (2023)</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Não relatado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8; feminino; 19,8 ± 1,9 anos; amador;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longitudinal/temporada; treinamento. Momento: início de cada sessão de teste, em três fases do ciclo menstrual (folicular inicial, folicular tardia, lútea média) em dois meses (seis sessões)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SAM (Self-Assessment Manikin), escala de valência. Dimensões: valência afetiva (estado de humor)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altura do salto com contramovimento, velocidade de arremesso, dor percebida (EVA), fase do ciclo menstrual (calendário e LH urinário).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teste de Friedman não mostrou diferença na valência do SAM entre as fases do ciclo menstrual (p = 0,639). A dor percebida também não variou (p = 0,565). Médias e DP do SAM ficam na Tabela 1 e na Figura 1, ausentes do manuscrito aberto.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Sem efeito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Sahli et al. (2024)</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Tunísia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28; misto; 17,4 ± 2,08 anos (meninos 17,5 ± 2,4; meninas 17,3 ± 1,7); escolar;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ensaio randomizado (declarado pelos autores; grupos VEI e VEC); treinamento. Momento: antes e depois de cada uma das duas sessões de jogo 7x7 (o texto também cita aplicação logo após cada sessão)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BRUMS-24 (versão árabe). Dimensões: tensão, depressão, raiva, vigor, fadiga, confusão</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habilidades técnico-táticas (bolas jogadas, conquistadas e perdidas, arremessos/gols, índices de conservação e defensivo); antropometria. Intervenção: encorajamento verbal individual do professor (VEI) contra encorajamento verbal coletivo durante o jogo (VEC), em duas sessões de jogos 7x7 de handebol</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VEI gerou maior queda de depressão e fadiga que o VEC nos dois sexos (interação nos meninos: depressão F = 11,99, p = 0,002, η² = 0,31; fadiga F = 10,69, p = 0,003). Nos meninos do VEI, a depressão caiu de 6,35 ± 1,00 para 3,28 ± 1,54, contra 6,22 ± 1,42 para 5,42 ± 1,50 no VEC. O vigor subiu mais com VEI nos meninos (8,35 para 10,64; interação p = 0,010) e nas meninas (8,92 para 11,42; p = 0,015). Nas meninas, a confusão (η² = 0,55) e a raiva (η² = 0,34) também caíram mais com VEI (p = 0,001).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Akroush et al. (2025)</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Jordânia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76; masculino; n.r. (experiência: 59,2% com menos de 10 anos); nacional (liga jordaniana de handebol 2022/2023);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transversal (descritivo); período competitivo (liga 2022/2023). Momento: n.r. (coleta durante a liga 2022/2023, em ginásios da competição)</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Lista de padrões de humor para atletas (Allawi, 1998), 30 itens na origem e 20 itens na forma final. Dimensões: força dos processos de excitação, força dos processos de cessação (inibição), flexibilidade pessoal (mobilidade dos processos nervosos)</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posição de jogo; tempo de experiência. Intervenção: não se aplica</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Os três padrões ficaram em nível alto: flexibilidade pessoal M = 2,37 ± 0,45, cessação M = 2,26 ± 0,37 e excitação M = 2,07 ± 0,34 (total M = 2,23 ± 0,29). A ANOVA de dois fatores não mostrou diferença por posição (F = 0,077; p = 0,926) nem por experiência (F = 0,432; p = 0,513).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Sem efeito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2/6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Batalla-Gavalda et al. (2025)</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16; feminino; 21,9 ± 3,2 anos; amador (categoria regional máxima da Catalunha, Liga Catalana Sénior Femenina);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(ordem dos dois testes de campo aleatorizada) com monitoramento de 10 jogos oficiais; pré-temporada (testes de campo) e competição oficial. Momento: antes de cada teste de campo (YYIRT-1 e GBPT) e antes de cada um dos 10 jogos oficiais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POMS-58 (versão espanhola, Balaguer et al., 1993). Dimensões: tensão, depressão, raiva, vigor, fadiga, confusão, PTH</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estresse percebido (PSS); PSE (Borg 6-20); FC máxima e média, zonas de FC; lactato; pressão arterial; balanço hídrico. Intervenção: não se aplica (comparação entre Yo-Yo IR1, Game-Based Performance Test e jogo oficial)</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YYIRT-1 gerou perfil de humor mais negativo que o jogo: depressão 11,63 ± 10,90 contra 7,74 ± 8,47 (d = 0,18), fadiga 9,31 ± 6,23 contra 6,02 ± 4,28 (d = 0,30) e PTH 139,13 ± 29,94 contra 127,12 ± 23,01 (d = 0,22). O GBPT diferiu do jogo só por aumento trivial de vigor (12,56 ± 3,67 contra 10,78 ± 4,52; d = 0,17). Tensão, raiva, confusão e estresse percebido não diferiram.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6/6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Aydi et al. (2025)</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Tunísia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16; masculino; 13,81 ± 0,73 anos; escolar;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aula de educação física (jogo de passes com regras do handebol). Momento: antes e depois de cada jogo de passes, nas duas condições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BRUMS (Brunel Mood Scale, 24 itens); o texto também o chama de POMS. Dimensões: tensão, depressão, raiva, vigor, fadiga, confusão, PTH</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FC média e %FCmáx, PSE (OMNI-RPE), prazer na atividade física (PACES), ações técnicas (passes certos, bolas perdidas, interceptações, gols). Intervenção: Jogo de passes 3 x 3 com dois coringas obesos (10 passes seguidos, regras do handebol, 4 x 3 min, campo de 20 x 10 m), com ou sem encorajamento verbal do professor, em ordem aleatória e contrabalançada, com uma semana de intervalo.</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jogo com encorajamento verbal gerou maior variação de vigor (p = 0,01; ES = -1,51) e menor variação da PTH (p = 0,02; ES = 0,78) que o jogo sem encorajamento. Tensão, raiva, confusão, depressão e fadiga não diferiram entre condições (p &gt; 0,05). Médias e DP aparecem só na Figura 2; os dados individuais estão no arquivo S1.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Diachenko e Tyshchenko (2025)</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Ucrânia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28; feminino; n.r. (adolescentes); formação/juvenil;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quase-experimental; treinamento. Momento: n.r. no resumo (antes e depois do programa, presumível)</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questionário SAN (bem-estar, atividade, humor). Dimensões: bem-estar, atividade, humor</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ansiedade reativa e traço (teste de Spielberger-Khanin), observação pedagógica. Intervenção: Programa de harmonização do estado psicoemocional associado ao treino: exercícios psicofisiológicos, relaxamento respiratório, visualização, treino cognitivo-comportamental e apoio pedagógico individual; grupo experimental (n = 14) e controle (n = 14).</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grupo experimental teve melhora significativa de bem-estar, atividade e humor (até 38%) e redução da ansiedade reativa e traço (mais de 8 pontos). O grupo controle teve mudanças mínimas e não significativas. O resumo não traz médias, DP nem valores de p. Fonte: resumo.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Efeito ou associação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2/6</w:t>
            </w:r>
          </w:p>
        </w:tc>
      </w:tr>
      <w:tr>
        <w:tc>
          <w:tcPr>
            <w:tcW w:w="136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Batalla-Gavalda et al. (2026)</w:t>
            </w:r>
          </w:p>
        </w:tc>
        <w:tc>
          <w:tcPr>
            <w:tcW w:w="793"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Espanha</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 = 16; feminino; 21,93 ± 3,25 anos; amador (categoria regional máxima da Catalunha); quadra</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cruzado (ordem dos testes de laboratório aleatorizada) com monitoramento de 10 jogos oficiais; laboratório (pré-temporada) e competição oficial. Momento: n.r. para o POMS (o PSS foi aplicado antes de cada teste e jogo; no Wingate e no cicloergômetro houve uma só medida para os dois testes)</w:t>
            </w:r>
          </w:p>
        </w:tc>
        <w:tc>
          <w:tcPr>
            <w:tcW w:w="15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POMS-58 (versão espanhola). Dimensões: tensão, depressão, raiva, vigor, fadiga, confusão, PTH</w:t>
            </w:r>
          </w:p>
        </w:tc>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estresse percebido (PSS-14); PSE (Borg 6-20 e CR-10); FC e zonas de FC; lactato; pressão arterial; balanço hídrico. Intervenção: não se aplica (comparação entre Wingate, rampa em cicloergômetro, teste em esteira e jogo oficial)</w:t>
            </w:r>
          </w:p>
        </w:tc>
        <w:tc>
          <w:tcPr>
            <w:tcW w:w="3402"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Wingate e cicloergômetro geraram mais fadiga que o jogo (7,69 ± 3,75 contra 6,02 ± 4,28; d = 0,16; p = 0,046). A esteira associou-se a maior vigor (13,31 ± 4,05 contra 10,78 ± 4,52; d = 0,23; p = 0,003). Tensão, depressão, raiva, confusão, PTH e estresse percebido não diferiram entre condições. Fonte: texto completo.</w:t>
            </w:r>
          </w:p>
        </w:tc>
        <w:tc>
          <w:tcPr>
            <w:tcW w:w="907" w:type="dxa"/>
            <w:tcBorders>
              <w:top w:val="single" w:sz="4" w:color="000000"/>
              <w:left w:val="single" w:sz="4" w:color="000000"/>
              <w:bottom w:val="single" w:sz="4"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4"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5/6</w:t>
            </w:r>
          </w:p>
        </w:tc>
      </w:tr>
      <w:tr>
        <w:tc>
          <w:tcPr>
            <w:tcW w:w="1360"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Ratz-Sulyok et al. (2026)</w:t>
            </w:r>
          </w:p>
        </w:tc>
        <w:tc>
          <w:tcPr>
            <w:tcW w:w="793"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Hungria</w:t>
            </w:r>
          </w:p>
        </w:tc>
        <w:tc>
          <w:tcPr>
            <w:tcW w:w="1587"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n = 584; misto; 14 a 35 anos; elite/profissional (seleções nacionais sub-17, sub-19, sub-21 e adulta; programa de talentos sub-15); quadra</w:t>
            </w:r>
          </w:p>
        </w:tc>
        <w:tc>
          <w:tcPr>
            <w:tcW w:w="1701"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transversal; laboratório (avaliação na federação húngara, 2024-2025). Momento: avaliação única por entrevista estruturada no dia do exame laboratorial (referência: semana anterior)</w:t>
            </w:r>
          </w:p>
        </w:tc>
        <w:tc>
          <w:tcPr>
            <w:tcW w:w="1587"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POMS-65. Dimensões: tensão, depressão, raiva, fadiga, confusão, vigor, PTH</w:t>
            </w:r>
          </w:p>
        </w:tc>
        <w:tc>
          <w:tcPr>
            <w:tcW w:w="1701"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cortisol, testosterona e 17-β-estradiol salivares; estresse percebido (PSS-14); sintomas psicossomáticos (HBSC-SCL); idade. Intervenção: não se aplica</w:t>
            </w:r>
          </w:p>
        </w:tc>
        <w:tc>
          <w:tcPr>
            <w:tcW w:w="3402"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A PTH diminuiu com a idade nos dois sexos (Kruskal-Wallis p &lt; 0,001; η² = 0,033 nos homens e 0,101 nas mulheres); nos adultos, a mediana foi −1 (homens) e −2,5 (mulheres). A PTH não se associou aos hormônios nos modelos ajustados pela idade (todos p &gt; 0,05; ex.: cortisol nos homens F = 1,773, p = 0,175). No modelo multivariado dos homens, houve interação PSS × POMS sobre o perfil hormonal (F = 2,82; p = 0,026; η² parcial = 0,055). Fonte: texto completo.</w:t>
            </w:r>
          </w:p>
        </w:tc>
        <w:tc>
          <w:tcPr>
            <w:tcW w:w="907" w:type="dxa"/>
            <w:tcBorders>
              <w:top w:val="single" w:sz="4" w:color="000000"/>
              <w:left w:val="single" w:sz="4" w:color="000000"/>
              <w:bottom w:val="single" w:sz="8" w:color="000000"/>
              <w:right w:val="single" w:sz="4" w:color="000000"/>
            </w:tcBorders>
          </w:tcPr>
          <w:p>
            <w:pPr>
              <w:spacing w:lineRule="exact" w:line="170" w:before="20" w:after="20"/>
              <w:jc w:val="center"/>
            </w:pPr>
            <w:r>
              <w:rPr>
                <w:rFonts w:ascii="Times New Roman" w:hAnsi="Times New Roman"/>
                <w:i w:val="0"/>
                <w:sz w:val="14"/>
              </w:rPr>
              <w:t>Misto</w:t>
            </w:r>
          </w:p>
        </w:tc>
        <w:tc>
          <w:tcPr>
            <w:tcW w:w="963" w:type="dxa"/>
            <w:tcBorders>
              <w:top w:val="single" w:sz="4" w:color="000000"/>
              <w:left w:val="single" w:sz="4" w:color="000000"/>
              <w:bottom w:val="single" w:sz="8" w:color="000000"/>
              <w:right w:val="single" w:sz="4" w:color="000000"/>
            </w:tcBorders>
          </w:tcPr>
          <w:p>
            <w:pPr>
              <w:spacing w:lineRule="exact" w:line="170" w:before="20" w:after="0"/>
              <w:jc w:val="center"/>
            </w:pPr>
            <w:r>
              <w:rPr>
                <w:rFonts w:ascii="Times New Roman" w:hAnsi="Times New Roman"/>
                <w:i w:val="0"/>
                <w:sz w:val="14"/>
              </w:rPr>
              <w:t>+ + + ? + ?</w:t>
            </w:r>
          </w:p>
          <w:p>
            <w:pPr>
              <w:spacing w:lineRule="exact" w:line="170" w:before="0" w:after="20"/>
              <w:jc w:val="center"/>
            </w:pPr>
            <w:r>
              <w:rPr>
                <w:rFonts w:ascii="Times New Roman" w:hAnsi="Times New Roman"/>
                <w:i w:val="0"/>
                <w:sz w:val="14"/>
              </w:rPr>
              <w:t>4/6</w:t>
            </w:r>
          </w:p>
        </w:tc>
      </w:tr>
    </w:tbl>
    <w:p>
      <w:pPr>
        <w:spacing w:before="40" w:after="0" w:line="240" w:lineRule="auto"/>
        <w:ind w:left="0" w:firstLine="0"/>
        <w:jc w:val="both"/>
      </w:pPr>
      <w:r>
        <w:rPr>
          <w:rFonts w:ascii="Times New Roman" w:hAnsi="Times New Roman"/>
          <w:i w:val="0"/>
          <w:sz w:val="20"/>
        </w:rPr>
        <w:t>Nota: n.r.: não relatado; qualidade: sim (+), incerto (?), não (−) nos itens Q1 a Q6 descritos na seção 2.6. A referência completa de cada estudo consta da lista de referências.</w:t>
      </w:r>
    </w:p>
    <w:p>
      <w:pPr>
        <w:spacing w:before="0" w:after="160" w:line="240" w:lineRule="auto"/>
        <w:ind w:left="0" w:firstLine="0"/>
        <w:jc w:val="left"/>
      </w:pPr>
      <w:r>
        <w:rPr>
          <w:rFonts w:ascii="Times New Roman" w:hAnsi="Times New Roman"/>
          <w:i w:val="0"/>
          <w:sz w:val="20"/>
        </w:rPr>
        <w:t>Fonte: elaborada pelos autores (2026).</w:t>
      </w:r>
    </w:p>
    <w:p>
      <w:pPr>
        <w:sectPr>
          <w:pgSz w:w="16838" w:h="11906" w:orient="landscape"/>
          <w:pgMar w:top="1701" w:right="1134" w:bottom="1134" w:left="1701" w:header="1134" w:footer="720" w:gutter="0"/>
          <w:cols w:space="720"/>
          <w:docGrid w:linePitch="360"/>
        </w:sectPr>
      </w:pPr>
    </w:p>
    <w:p>
      <w:pPr>
        <w:spacing w:before="0" w:after="120" w:line="360" w:lineRule="auto"/>
        <w:ind w:left="0" w:firstLine="0"/>
        <w:jc w:val="center"/>
      </w:pPr>
      <w:r>
        <w:rPr>
          <w:rFonts w:ascii="Times New Roman" w:hAnsi="Times New Roman"/>
          <w:b/>
          <w:sz w:val="24"/>
        </w:rPr>
        <w:t>APÊNDICE B – PROTOCOLOS E RESULTADOS DOS ESTUDOS DE INTERVENÇÃO</w:t>
      </w:r>
    </w:p>
    <w:p>
      <w:pPr>
        <w:keepNext/>
        <w:spacing w:before="120" w:after="60" w:line="240" w:lineRule="auto"/>
        <w:ind w:left="0" w:firstLine="0"/>
        <w:jc w:val="both"/>
      </w:pPr>
      <w:r>
        <w:rPr>
          <w:rFonts w:ascii="Times New Roman" w:hAnsi="Times New Roman"/>
          <w:b/>
          <w:sz w:val="20"/>
        </w:rPr>
        <w:t>Quadro B1</w:t>
      </w:r>
      <w:r>
        <w:rPr>
          <w:rFonts w:ascii="Times New Roman" w:hAnsi="Times New Roman"/>
          <w:i w:val="0"/>
          <w:sz w:val="20"/>
        </w:rPr>
        <w:t xml:space="preserve"> – Estudos de intervenção: participantes, intervenção e comparador, duração, medida de humor, resultado principal e qualidade metodológica</w:t>
      </w:r>
    </w:p>
    <w:tbl>
      <w:tblPr>
        <w:jc w:val="center"/>
        <w:tblLayout w:type="fixed"/>
        <w:tblLook w:firstColumn="1" w:firstRow="1" w:lastColumn="0" w:lastRow="0" w:noHBand="0" w:noVBand="1" w:val="04A0"/>
        <w:tblW w:w="14004" w:type="dxa"/>
        <w:tblLayout w:type="fixed"/>
      </w:tblPr>
      <w:tblGrid>
        <w:gridCol w:w="1474"/>
        <w:gridCol w:w="1927"/>
        <w:gridCol w:w="2608"/>
        <w:gridCol w:w="1701"/>
        <w:gridCol w:w="1927"/>
        <w:gridCol w:w="3175"/>
        <w:gridCol w:w="1190"/>
      </w:tblGrid>
      <w:tr>
        <w:trPr>
          <w:tblHeader w:val="true"/>
        </w:trPr>
        <w:tc>
          <w:tcPr>
            <w:tcW w:w="1474" w:type="dxa"/>
            <w:tcBorders>
              <w:top w:val="single" w:sz="8" w:color="000000"/>
              <w:left w:val="single" w:sz="4" w:color="000000"/>
              <w:bottom w:val="single" w:sz="6" w:color="000000"/>
              <w:right w:val="single" w:sz="4" w:color="000000"/>
            </w:tcBorders>
          </w:tcPr>
          <w:p>
            <w:pPr>
              <w:spacing w:lineRule="exact" w:line="190"/>
              <w:jc w:val="center"/>
            </w:pPr>
            <w:r>
              <w:rPr>
                <w:rFonts w:ascii="Times New Roman" w:hAnsi="Times New Roman"/>
                <w:b/>
                <w:sz w:val="16"/>
              </w:rPr>
              <w:t>Estudo</w:t>
            </w:r>
          </w:p>
        </w:tc>
        <w:tc>
          <w:tcPr>
            <w:tcW w:w="1927" w:type="dxa"/>
            <w:tcBorders>
              <w:top w:val="single" w:sz="8" w:color="000000"/>
              <w:left w:val="single" w:sz="4" w:color="000000"/>
              <w:bottom w:val="single" w:sz="6" w:color="000000"/>
              <w:right w:val="single" w:sz="4" w:color="000000"/>
            </w:tcBorders>
          </w:tcPr>
          <w:p>
            <w:pPr>
              <w:spacing w:lineRule="exact" w:line="190"/>
              <w:jc w:val="center"/>
            </w:pPr>
            <w:r>
              <w:rPr>
                <w:rFonts w:ascii="Times New Roman" w:hAnsi="Times New Roman"/>
                <w:b/>
                <w:sz w:val="16"/>
              </w:rPr>
              <w:t>Participantes</w:t>
            </w:r>
          </w:p>
        </w:tc>
        <w:tc>
          <w:tcPr>
            <w:tcW w:w="2608" w:type="dxa"/>
            <w:tcBorders>
              <w:top w:val="single" w:sz="8" w:color="000000"/>
              <w:left w:val="single" w:sz="4" w:color="000000"/>
              <w:bottom w:val="single" w:sz="6" w:color="000000"/>
              <w:right w:val="single" w:sz="4" w:color="000000"/>
            </w:tcBorders>
          </w:tcPr>
          <w:p>
            <w:pPr>
              <w:spacing w:lineRule="exact" w:line="190"/>
              <w:jc w:val="center"/>
            </w:pPr>
            <w:r>
              <w:rPr>
                <w:rFonts w:ascii="Times New Roman" w:hAnsi="Times New Roman"/>
                <w:b/>
                <w:sz w:val="16"/>
              </w:rPr>
              <w:t>Intervenção e comparador</w:t>
            </w:r>
          </w:p>
        </w:tc>
        <w:tc>
          <w:tcPr>
            <w:tcW w:w="1701" w:type="dxa"/>
            <w:tcBorders>
              <w:top w:val="single" w:sz="8" w:color="000000"/>
              <w:left w:val="single" w:sz="4" w:color="000000"/>
              <w:bottom w:val="single" w:sz="6" w:color="000000"/>
              <w:right w:val="single" w:sz="4" w:color="000000"/>
            </w:tcBorders>
          </w:tcPr>
          <w:p>
            <w:pPr>
              <w:spacing w:lineRule="exact" w:line="190"/>
              <w:jc w:val="center"/>
            </w:pPr>
            <w:r>
              <w:rPr>
                <w:rFonts w:ascii="Times New Roman" w:hAnsi="Times New Roman"/>
                <w:b/>
                <w:sz w:val="16"/>
              </w:rPr>
              <w:t>Duração e frequência</w:t>
            </w:r>
          </w:p>
        </w:tc>
        <w:tc>
          <w:tcPr>
            <w:tcW w:w="1927" w:type="dxa"/>
            <w:tcBorders>
              <w:top w:val="single" w:sz="8" w:color="000000"/>
              <w:left w:val="single" w:sz="4" w:color="000000"/>
              <w:bottom w:val="single" w:sz="6" w:color="000000"/>
              <w:right w:val="single" w:sz="4" w:color="000000"/>
            </w:tcBorders>
          </w:tcPr>
          <w:p>
            <w:pPr>
              <w:spacing w:lineRule="exact" w:line="190"/>
              <w:jc w:val="center"/>
            </w:pPr>
            <w:r>
              <w:rPr>
                <w:rFonts w:ascii="Times New Roman" w:hAnsi="Times New Roman"/>
                <w:b/>
                <w:sz w:val="16"/>
              </w:rPr>
              <w:t>Medida de humor e momento</w:t>
            </w:r>
          </w:p>
        </w:tc>
        <w:tc>
          <w:tcPr>
            <w:tcW w:w="3175" w:type="dxa"/>
            <w:tcBorders>
              <w:top w:val="single" w:sz="8" w:color="000000"/>
              <w:left w:val="single" w:sz="4" w:color="000000"/>
              <w:bottom w:val="single" w:sz="6" w:color="000000"/>
              <w:right w:val="single" w:sz="4" w:color="000000"/>
            </w:tcBorders>
          </w:tcPr>
          <w:p>
            <w:pPr>
              <w:spacing w:lineRule="exact" w:line="190"/>
              <w:jc w:val="center"/>
            </w:pPr>
            <w:r>
              <w:rPr>
                <w:rFonts w:ascii="Times New Roman" w:hAnsi="Times New Roman"/>
                <w:b/>
                <w:sz w:val="16"/>
              </w:rPr>
              <w:t>Principal resultado</w:t>
            </w:r>
          </w:p>
        </w:tc>
        <w:tc>
          <w:tcPr>
            <w:tcW w:w="1190" w:type="dxa"/>
            <w:tcBorders>
              <w:top w:val="single" w:sz="8" w:color="000000"/>
              <w:left w:val="single" w:sz="4" w:color="000000"/>
              <w:bottom w:val="single" w:sz="6" w:color="000000"/>
              <w:right w:val="single" w:sz="4" w:color="000000"/>
            </w:tcBorders>
          </w:tcPr>
          <w:p>
            <w:pPr>
              <w:spacing w:lineRule="exact" w:line="190"/>
              <w:jc w:val="center"/>
            </w:pPr>
            <w:r>
              <w:rPr>
                <w:rFonts w:ascii="Times New Roman" w:hAnsi="Times New Roman"/>
                <w:b/>
                <w:sz w:val="16"/>
              </w:rPr>
              <w:t>Qualidade (0 a 6)</w:t>
            </w:r>
          </w:p>
        </w:tc>
      </w:tr>
      <w:tr>
        <w:tc>
          <w:tcPr>
            <w:tcW w:w="1474"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Rocha, Lopes e Moraes (2010)</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18 atletas adultos (9 homens e 9 mulheres)</w:t>
            </w:r>
          </w:p>
        </w:tc>
        <w:tc>
          <w:tcPr>
            <w:tcW w:w="2608"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Informação sobre a duração da corrida (fragmentada, superestimada ou indefinida), em ordem cega e aleatória, contra linha de base com duração conhecida, sempre na 1ª sessão</w:t>
            </w:r>
          </w:p>
        </w:tc>
        <w:tc>
          <w:tcPr>
            <w:tcW w:w="1701"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4 sessões de corrida de 20 min a 70% da velocidade de pico</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Feeling Scale durante a corrida</w:t>
            </w:r>
          </w:p>
        </w:tc>
        <w:tc>
          <w:tcPr>
            <w:tcW w:w="3175"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Afeto diferente da linha de base após o 10º min nas sessões fragmentada e superestimada; piora na discussão e aumento no resumo; valores apenas em figura</w:t>
            </w:r>
          </w:p>
        </w:tc>
        <w:tc>
          <w:tcPr>
            <w:tcW w:w="1190" w:type="dxa"/>
            <w:tcBorders>
              <w:top w:val="single" w:sz="4" w:color="000000"/>
              <w:left w:val="single" w:sz="4" w:color="000000"/>
              <w:bottom w:val="single" w:sz="4" w:color="000000"/>
              <w:right w:val="single" w:sz="4" w:color="000000"/>
            </w:tcBorders>
          </w:tcPr>
          <w:p>
            <w:pPr>
              <w:spacing w:lineRule="exact" w:line="190" w:before="20" w:after="0"/>
              <w:jc w:val="center"/>
            </w:pPr>
            <w:r>
              <w:rPr>
                <w:rFonts w:ascii="Times New Roman" w:hAnsi="Times New Roman"/>
                <w:i w:val="0"/>
                <w:sz w:val="16"/>
              </w:rPr>
              <w:t>4</w:t>
            </w:r>
          </w:p>
          <w:p>
            <w:pPr>
              <w:spacing w:lineRule="exact" w:line="190" w:before="0" w:after="20"/>
              <w:jc w:val="center"/>
            </w:pPr>
            <w:r>
              <w:rPr>
                <w:rFonts w:ascii="Times New Roman" w:hAnsi="Times New Roman"/>
                <w:i w:val="0"/>
                <w:sz w:val="16"/>
              </w:rPr>
              <w:t>(moderada)</w:t>
            </w:r>
          </w:p>
        </w:tc>
      </w:tr>
      <w:tr>
        <w:tc>
          <w:tcPr>
            <w:tcW w:w="1474"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Al-Wattar e Al-Badrane (2014)</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6 jogadores juvenis de 18 a 20 anos, selecionados entre 20 pelo humor mais negativo</w:t>
            </w:r>
          </w:p>
        </w:tc>
        <w:tc>
          <w:tcPr>
            <w:tcW w:w="2608"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Programa de autorregulação do humor; delineamento A-B-A, sem grupo controle</w:t>
            </w:r>
          </w:p>
        </w:tc>
        <w:tc>
          <w:tcPr>
            <w:tcW w:w="1701"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6 semanas; 2 sessões semanais de 30 a 45 min</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BRUMS árabe; 4 medidas em cada fase</w:t>
            </w:r>
          </w:p>
        </w:tc>
        <w:tc>
          <w:tcPr>
            <w:tcW w:w="3175"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Queda das dimensões negativas e aumento do vigor; vigor sem mudança em 2 dos 6 jogadores e confusão em 1</w:t>
            </w:r>
          </w:p>
        </w:tc>
        <w:tc>
          <w:tcPr>
            <w:tcW w:w="1190" w:type="dxa"/>
            <w:tcBorders>
              <w:top w:val="single" w:sz="4" w:color="000000"/>
              <w:left w:val="single" w:sz="4" w:color="000000"/>
              <w:bottom w:val="single" w:sz="4" w:color="000000"/>
              <w:right w:val="single" w:sz="4" w:color="000000"/>
            </w:tcBorders>
          </w:tcPr>
          <w:p>
            <w:pPr>
              <w:spacing w:lineRule="exact" w:line="190" w:before="20" w:after="0"/>
              <w:jc w:val="center"/>
            </w:pPr>
            <w:r>
              <w:rPr>
                <w:rFonts w:ascii="Times New Roman" w:hAnsi="Times New Roman"/>
                <w:i w:val="0"/>
                <w:sz w:val="16"/>
              </w:rPr>
              <w:t>3</w:t>
            </w:r>
          </w:p>
          <w:p>
            <w:pPr>
              <w:spacing w:lineRule="exact" w:line="190" w:before="0" w:after="20"/>
              <w:jc w:val="center"/>
            </w:pPr>
            <w:r>
              <w:rPr>
                <w:rFonts w:ascii="Times New Roman" w:hAnsi="Times New Roman"/>
                <w:i w:val="0"/>
                <w:sz w:val="16"/>
              </w:rPr>
              <w:t>(moderada)</w:t>
            </w:r>
          </w:p>
        </w:tc>
      </w:tr>
      <w:tr>
        <w:tc>
          <w:tcPr>
            <w:tcW w:w="1474"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Khazdozi, Bahari e Ashayeri (2017)</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24 jogadoras da liga principal do Curdistão (12 por grupo)</w:t>
            </w:r>
          </w:p>
        </w:tc>
        <w:tc>
          <w:tcPr>
            <w:tcW w:w="2608"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Aquecimento com música contra grupo controle</w:t>
            </w:r>
          </w:p>
        </w:tc>
        <w:tc>
          <w:tcPr>
            <w:tcW w:w="1701"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n.r.</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Questionário persa de 32 itens; antes e depois do programa</w:t>
            </w:r>
          </w:p>
        </w:tc>
        <w:tc>
          <w:tcPr>
            <w:tcW w:w="3175"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Diferença nas variações (U = 22; Z = -2,899; p = 0,003); médias praticamente inalteradas na figura e grupos diferentes no pré-teste</w:t>
            </w:r>
          </w:p>
        </w:tc>
        <w:tc>
          <w:tcPr>
            <w:tcW w:w="1190" w:type="dxa"/>
            <w:tcBorders>
              <w:top w:val="single" w:sz="4" w:color="000000"/>
              <w:left w:val="single" w:sz="4" w:color="000000"/>
              <w:bottom w:val="single" w:sz="4" w:color="000000"/>
              <w:right w:val="single" w:sz="4" w:color="000000"/>
            </w:tcBorders>
          </w:tcPr>
          <w:p>
            <w:pPr>
              <w:spacing w:lineRule="exact" w:line="190" w:before="20" w:after="0"/>
              <w:jc w:val="center"/>
            </w:pPr>
            <w:r>
              <w:rPr>
                <w:rFonts w:ascii="Times New Roman" w:hAnsi="Times New Roman"/>
                <w:i w:val="0"/>
                <w:sz w:val="16"/>
              </w:rPr>
              <w:t>2</w:t>
            </w:r>
          </w:p>
          <w:p>
            <w:pPr>
              <w:spacing w:lineRule="exact" w:line="190" w:before="0" w:after="20"/>
              <w:jc w:val="center"/>
            </w:pPr>
            <w:r>
              <w:rPr>
                <w:rFonts w:ascii="Times New Roman" w:hAnsi="Times New Roman"/>
                <w:i w:val="0"/>
                <w:sz w:val="16"/>
              </w:rPr>
              <w:t>(baixa)</w:t>
            </w:r>
          </w:p>
        </w:tc>
      </w:tr>
      <w:tr>
        <w:tc>
          <w:tcPr>
            <w:tcW w:w="1474"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Assunção Carvalho et al. (2018)</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25 jogadores juniores de elite (18,6 ± 2,4 anos)</w:t>
            </w:r>
          </w:p>
        </w:tc>
        <w:tc>
          <w:tcPr>
            <w:tcW w:w="2608"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Néctar de jamelão (n = 12) contra placebo de maltodextrina (n = 13), duplo-cego</w:t>
            </w:r>
          </w:p>
        </w:tc>
        <w:tc>
          <w:tcPr>
            <w:tcW w:w="1701"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28 dias; 10 mL/kg/dia</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POMS de 36 itens; início e após 28 dias</w:t>
            </w:r>
          </w:p>
        </w:tc>
        <w:tc>
          <w:tcPr>
            <w:tcW w:w="3175"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Interação na perturbação total (F = 5,336; p = 0,030): queda só no grupo suplementado (100,7 ± 17,0 para 89,7 ± 11,6), sem diferença entre grupos</w:t>
            </w:r>
          </w:p>
        </w:tc>
        <w:tc>
          <w:tcPr>
            <w:tcW w:w="1190" w:type="dxa"/>
            <w:tcBorders>
              <w:top w:val="single" w:sz="4" w:color="000000"/>
              <w:left w:val="single" w:sz="4" w:color="000000"/>
              <w:bottom w:val="single" w:sz="4" w:color="000000"/>
              <w:right w:val="single" w:sz="4" w:color="000000"/>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474"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Soto, García-Herrero e Carcedo (2020)</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39 jogadoras das seleções chilenas (13 por grupo)</w:t>
            </w:r>
          </w:p>
        </w:tc>
        <w:tc>
          <w:tcPr>
            <w:tcW w:w="2608"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Feedback positivo, negativo ou ausente, pré-estabelecido</w:t>
            </w:r>
          </w:p>
        </w:tc>
        <w:tc>
          <w:tcPr>
            <w:tcW w:w="1701"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Sessão única; 30 arremessos</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PANAS; imediatamente antes e depois da tarefa</w:t>
            </w:r>
          </w:p>
        </w:tc>
        <w:tc>
          <w:tcPr>
            <w:tcW w:w="3175"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Interação no afeto positivo (F = 4,63; p &lt; 0,05), com queda no feedback negativo (4,20 para 3,70; delta de Cliff = 0,36); afeto negativo sem efeito (F = 1,70)</w:t>
            </w:r>
          </w:p>
        </w:tc>
        <w:tc>
          <w:tcPr>
            <w:tcW w:w="1190" w:type="dxa"/>
            <w:tcBorders>
              <w:top w:val="single" w:sz="4" w:color="000000"/>
              <w:left w:val="single" w:sz="4" w:color="000000"/>
              <w:bottom w:val="single" w:sz="4" w:color="000000"/>
              <w:right w:val="single" w:sz="4" w:color="000000"/>
            </w:tcBorders>
          </w:tcPr>
          <w:p>
            <w:pPr>
              <w:spacing w:lineRule="exact" w:line="190" w:before="20" w:after="0"/>
              <w:jc w:val="center"/>
            </w:pPr>
            <w:r>
              <w:rPr>
                <w:rFonts w:ascii="Times New Roman" w:hAnsi="Times New Roman"/>
                <w:i w:val="0"/>
                <w:sz w:val="16"/>
              </w:rPr>
              <w:t>6</w:t>
            </w:r>
          </w:p>
          <w:p>
            <w:pPr>
              <w:spacing w:lineRule="exact" w:line="190" w:before="0" w:after="20"/>
              <w:jc w:val="center"/>
            </w:pPr>
            <w:r>
              <w:rPr>
                <w:rFonts w:ascii="Times New Roman" w:hAnsi="Times New Roman"/>
                <w:i w:val="0"/>
                <w:sz w:val="16"/>
              </w:rPr>
              <w:t>(alta)</w:t>
            </w:r>
          </w:p>
        </w:tc>
      </w:tr>
      <w:tr>
        <w:tc>
          <w:tcPr>
            <w:tcW w:w="1474"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García-Herrero et al. (2022)</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73 jogadoras da primeira divisão espanhola (70 analisadas)</w:t>
            </w:r>
          </w:p>
        </w:tc>
        <w:tc>
          <w:tcPr>
            <w:tcW w:w="2608"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Feedback comparativo positivo, negativo ou ausente, dado pelos treinadores</w:t>
            </w:r>
          </w:p>
        </w:tc>
        <w:tc>
          <w:tcPr>
            <w:tcW w:w="1701"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Sessão única; 21 arremessos</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PANAS; antes e depois da tarefa</w:t>
            </w:r>
          </w:p>
        </w:tc>
        <w:tc>
          <w:tcPr>
            <w:tcW w:w="3175"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Sem efeito sobre o afeto positivo nem sobre o negativo</w:t>
            </w:r>
          </w:p>
        </w:tc>
        <w:tc>
          <w:tcPr>
            <w:tcW w:w="1190" w:type="dxa"/>
            <w:tcBorders>
              <w:top w:val="single" w:sz="4" w:color="000000"/>
              <w:left w:val="single" w:sz="4" w:color="000000"/>
              <w:bottom w:val="single" w:sz="4" w:color="000000"/>
              <w:right w:val="single" w:sz="4" w:color="000000"/>
            </w:tcBorders>
          </w:tcPr>
          <w:p>
            <w:pPr>
              <w:spacing w:lineRule="exact" w:line="190" w:before="20" w:after="0"/>
              <w:jc w:val="center"/>
            </w:pPr>
            <w:r>
              <w:rPr>
                <w:rFonts w:ascii="Times New Roman" w:hAnsi="Times New Roman"/>
                <w:i w:val="0"/>
                <w:sz w:val="16"/>
              </w:rPr>
              <w:t>6</w:t>
            </w:r>
          </w:p>
          <w:p>
            <w:pPr>
              <w:spacing w:lineRule="exact" w:line="190" w:before="0" w:after="20"/>
              <w:jc w:val="center"/>
            </w:pPr>
            <w:r>
              <w:rPr>
                <w:rFonts w:ascii="Times New Roman" w:hAnsi="Times New Roman"/>
                <w:i w:val="0"/>
                <w:sz w:val="16"/>
              </w:rPr>
              <w:t>(alta)</w:t>
            </w:r>
          </w:p>
        </w:tc>
      </w:tr>
      <w:tr>
        <w:tc>
          <w:tcPr>
            <w:tcW w:w="1474"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Ghazel et al. (2022)</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14 jogadoras de 21 a 24 anos</w:t>
            </w:r>
          </w:p>
        </w:tc>
        <w:tc>
          <w:tcPr>
            <w:tcW w:w="2608"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Música de 140 bpm contra ausência de música, em ordem aleatória</w:t>
            </w:r>
          </w:p>
        </w:tc>
        <w:tc>
          <w:tcPr>
            <w:tcW w:w="1701"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Testes nas fases menstrual, lútea e folicular</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POMS em cada fase</w:t>
            </w:r>
          </w:p>
        </w:tc>
        <w:tc>
          <w:tcPr>
            <w:tcW w:w="3175"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Ansiedade, raiva e confusão maiores na fase menstrual; análise do humor por condição de música n.r. no resumo</w:t>
            </w:r>
          </w:p>
        </w:tc>
        <w:tc>
          <w:tcPr>
            <w:tcW w:w="1190" w:type="dxa"/>
            <w:tcBorders>
              <w:top w:val="single" w:sz="4" w:color="000000"/>
              <w:left w:val="single" w:sz="4" w:color="000000"/>
              <w:bottom w:val="single" w:sz="4" w:color="000000"/>
              <w:right w:val="single" w:sz="4" w:color="000000"/>
            </w:tcBorders>
          </w:tcPr>
          <w:p>
            <w:pPr>
              <w:spacing w:lineRule="exact" w:line="190" w:before="20" w:after="0"/>
              <w:jc w:val="center"/>
            </w:pPr>
            <w:r>
              <w:rPr>
                <w:rFonts w:ascii="Times New Roman" w:hAnsi="Times New Roman"/>
                <w:i w:val="0"/>
                <w:sz w:val="16"/>
              </w:rPr>
              <w:t>2</w:t>
            </w:r>
          </w:p>
          <w:p>
            <w:pPr>
              <w:spacing w:lineRule="exact" w:line="190" w:before="0" w:after="20"/>
              <w:jc w:val="center"/>
            </w:pPr>
            <w:r>
              <w:rPr>
                <w:rFonts w:ascii="Times New Roman" w:hAnsi="Times New Roman"/>
                <w:i w:val="0"/>
                <w:sz w:val="16"/>
              </w:rPr>
              <w:t>(baixa)</w:t>
            </w:r>
          </w:p>
        </w:tc>
      </w:tr>
      <w:tr>
        <w:tc>
          <w:tcPr>
            <w:tcW w:w="1474"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Sahli et al. (2022)</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20 escolares do sexo masculino (16 ± 1 anos)</w:t>
            </w:r>
          </w:p>
        </w:tc>
        <w:tc>
          <w:tcPr>
            <w:tcW w:w="2608"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Encorajamento verbal com instrução técnica, instrução isolada e controle, em ordem aleatória</w:t>
            </w:r>
          </w:p>
        </w:tc>
        <w:tc>
          <w:tcPr>
            <w:tcW w:w="1701"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3 sessões de 2 x 10 min; intervalo mínimo de 48 h</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Feeling Scale na recuperação e após o jogo</w:t>
            </w:r>
          </w:p>
        </w:tc>
        <w:tc>
          <w:tcPr>
            <w:tcW w:w="3175"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Valência maior na condição combinada que no controle e estável nela, com queda nas demais; F relatado em bloco com a PSE (F ≥ 9,2; ηp² = 0,32)</w:t>
            </w:r>
          </w:p>
        </w:tc>
        <w:tc>
          <w:tcPr>
            <w:tcW w:w="1190" w:type="dxa"/>
            <w:tcBorders>
              <w:top w:val="single" w:sz="4" w:color="000000"/>
              <w:left w:val="single" w:sz="4" w:color="000000"/>
              <w:bottom w:val="single" w:sz="4" w:color="000000"/>
              <w:right w:val="single" w:sz="4" w:color="000000"/>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474"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Miralles-Amorós et al. (2023)</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21 jogadoras profissionais (7 por grupo)</w:t>
            </w:r>
          </w:p>
        </w:tc>
        <w:tc>
          <w:tcPr>
            <w:tcW w:w="2608"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Dieta mediterrânea ou rica em antioxidantes contra dieta livre com recomendações</w:t>
            </w:r>
          </w:p>
        </w:tc>
        <w:tc>
          <w:tcPr>
            <w:tcW w:w="1701"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12 semanas</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POMS de 30 itens; início, meio e 12ª semana</w:t>
            </w:r>
          </w:p>
        </w:tc>
        <w:tc>
          <w:tcPr>
            <w:tcW w:w="3175"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Sem efeito de tempo nem interação em nenhuma dimensão (interação: p de 0,069 a 0,430); resumo e conclusões relatam mudanças</w:t>
            </w:r>
          </w:p>
        </w:tc>
        <w:tc>
          <w:tcPr>
            <w:tcW w:w="1190" w:type="dxa"/>
            <w:tcBorders>
              <w:top w:val="single" w:sz="4" w:color="000000"/>
              <w:left w:val="single" w:sz="4" w:color="000000"/>
              <w:bottom w:val="single" w:sz="4" w:color="000000"/>
              <w:right w:val="single" w:sz="4" w:color="000000"/>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474"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Sahli et al. (2024)</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28 escolares com sobrepeso (17,4 ± 2,08 anos; 14 por sexo)</w:t>
            </w:r>
          </w:p>
        </w:tc>
        <w:tc>
          <w:tcPr>
            <w:tcW w:w="2608"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Encorajamento verbal individual, antes e nos intervalos, contra coletivo, durante o jogo</w:t>
            </w:r>
          </w:p>
        </w:tc>
        <w:tc>
          <w:tcPr>
            <w:tcW w:w="1701"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2 sessões de 2 x 12 min de jogo 7 contra 7</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BRUMS árabe; antes e depois, com descrições divergentes</w:t>
            </w:r>
          </w:p>
        </w:tc>
        <w:tc>
          <w:tcPr>
            <w:tcW w:w="3175"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Interação grupo × tempo nas seis dimensões, nos dois sexos (η² de 0,18 a 0,55), favorável ao encorajamento individual</w:t>
            </w:r>
          </w:p>
        </w:tc>
        <w:tc>
          <w:tcPr>
            <w:tcW w:w="1190" w:type="dxa"/>
            <w:tcBorders>
              <w:top w:val="single" w:sz="4" w:color="000000"/>
              <w:left w:val="single" w:sz="4" w:color="000000"/>
              <w:bottom w:val="single" w:sz="4" w:color="000000"/>
              <w:right w:val="single" w:sz="4" w:color="000000"/>
            </w:tcBorders>
          </w:tcPr>
          <w:p>
            <w:pPr>
              <w:spacing w:lineRule="exact" w:line="190" w:before="20" w:after="0"/>
              <w:jc w:val="center"/>
            </w:pPr>
            <w:r>
              <w:rPr>
                <w:rFonts w:ascii="Times New Roman" w:hAnsi="Times New Roman"/>
                <w:i w:val="0"/>
                <w:sz w:val="16"/>
              </w:rPr>
              <w:t>4</w:t>
            </w:r>
          </w:p>
          <w:p>
            <w:pPr>
              <w:spacing w:lineRule="exact" w:line="190" w:before="0" w:after="20"/>
              <w:jc w:val="center"/>
            </w:pPr>
            <w:r>
              <w:rPr>
                <w:rFonts w:ascii="Times New Roman" w:hAnsi="Times New Roman"/>
                <w:i w:val="0"/>
                <w:sz w:val="16"/>
              </w:rPr>
              <w:t>(moderada)</w:t>
            </w:r>
          </w:p>
        </w:tc>
      </w:tr>
      <w:tr>
        <w:tc>
          <w:tcPr>
            <w:tcW w:w="1474"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Aydi et al. (2025)</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16 escolares obesos (13,81 ± 0,73 anos)</w:t>
            </w:r>
          </w:p>
        </w:tc>
        <w:tc>
          <w:tcPr>
            <w:tcW w:w="2608"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Jogo de passes com contra sem encorajamento verbal, em ordem contrabalançada</w:t>
            </w:r>
          </w:p>
        </w:tc>
        <w:tc>
          <w:tcPr>
            <w:tcW w:w="1701"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2 sessões de 4 x 3 min; intervalo de uma semana</w:t>
            </w:r>
          </w:p>
        </w:tc>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BRUMS antes e depois de cada jogo</w:t>
            </w:r>
          </w:p>
        </w:tc>
        <w:tc>
          <w:tcPr>
            <w:tcW w:w="3175"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Maior variação do vigor (p = 0,01; ES = -1,51) e menor da perturbação total (p = 0,02; ES = 0,78); demais dimensões sem diferença</w:t>
            </w:r>
          </w:p>
        </w:tc>
        <w:tc>
          <w:tcPr>
            <w:tcW w:w="1190" w:type="dxa"/>
            <w:tcBorders>
              <w:top w:val="single" w:sz="4" w:color="000000"/>
              <w:left w:val="single" w:sz="4" w:color="000000"/>
              <w:bottom w:val="single" w:sz="4" w:color="000000"/>
              <w:right w:val="single" w:sz="4" w:color="000000"/>
            </w:tcBorders>
          </w:tcPr>
          <w:p>
            <w:pPr>
              <w:spacing w:lineRule="exact" w:line="190" w:before="20" w:after="0"/>
              <w:jc w:val="center"/>
            </w:pPr>
            <w:r>
              <w:rPr>
                <w:rFonts w:ascii="Times New Roman" w:hAnsi="Times New Roman"/>
                <w:i w:val="0"/>
                <w:sz w:val="16"/>
              </w:rPr>
              <w:t>5</w:t>
            </w:r>
          </w:p>
          <w:p>
            <w:pPr>
              <w:spacing w:lineRule="exact" w:line="190" w:before="0" w:after="20"/>
              <w:jc w:val="center"/>
            </w:pPr>
            <w:r>
              <w:rPr>
                <w:rFonts w:ascii="Times New Roman" w:hAnsi="Times New Roman"/>
                <w:i w:val="0"/>
                <w:sz w:val="16"/>
              </w:rPr>
              <w:t>(alta)</w:t>
            </w:r>
          </w:p>
        </w:tc>
      </w:tr>
      <w:tr>
        <w:tc>
          <w:tcPr>
            <w:tcW w:w="1474" w:type="dxa"/>
            <w:tcBorders>
              <w:top w:val="single" w:sz="4" w:color="000000"/>
              <w:left w:val="single" w:sz="4" w:color="000000"/>
              <w:bottom w:val="single" w:sz="8" w:color="000000"/>
              <w:right w:val="single" w:sz="4" w:color="000000"/>
            </w:tcBorders>
          </w:tcPr>
          <w:p>
            <w:pPr>
              <w:spacing w:lineRule="exact" w:line="190" w:before="20" w:after="20"/>
              <w:jc w:val="left"/>
            </w:pPr>
            <w:r>
              <w:rPr>
                <w:rFonts w:ascii="Times New Roman" w:hAnsi="Times New Roman"/>
                <w:i w:val="0"/>
                <w:sz w:val="16"/>
              </w:rPr>
              <w:t>Diachenko e Tyshchenko (2025)</w:t>
            </w:r>
          </w:p>
        </w:tc>
        <w:tc>
          <w:tcPr>
            <w:tcW w:w="1927" w:type="dxa"/>
            <w:tcBorders>
              <w:top w:val="single" w:sz="4" w:color="000000"/>
              <w:left w:val="single" w:sz="4" w:color="000000"/>
              <w:bottom w:val="single" w:sz="8" w:color="000000"/>
              <w:right w:val="single" w:sz="4" w:color="000000"/>
            </w:tcBorders>
          </w:tcPr>
          <w:p>
            <w:pPr>
              <w:spacing w:lineRule="exact" w:line="190" w:before="20" w:after="20"/>
              <w:jc w:val="left"/>
            </w:pPr>
            <w:r>
              <w:rPr>
                <w:rFonts w:ascii="Times New Roman" w:hAnsi="Times New Roman"/>
                <w:i w:val="0"/>
                <w:sz w:val="16"/>
              </w:rPr>
              <w:t>28 jogadoras adolescentes (14 por grupo)</w:t>
            </w:r>
          </w:p>
        </w:tc>
        <w:tc>
          <w:tcPr>
            <w:tcW w:w="2608" w:type="dxa"/>
            <w:tcBorders>
              <w:top w:val="single" w:sz="4" w:color="000000"/>
              <w:left w:val="single" w:sz="4" w:color="000000"/>
              <w:bottom w:val="single" w:sz="8" w:color="000000"/>
              <w:right w:val="single" w:sz="4" w:color="000000"/>
            </w:tcBorders>
          </w:tcPr>
          <w:p>
            <w:pPr>
              <w:spacing w:lineRule="exact" w:line="190" w:before="20" w:after="20"/>
              <w:jc w:val="left"/>
            </w:pPr>
            <w:r>
              <w:rPr>
                <w:rFonts w:ascii="Times New Roman" w:hAnsi="Times New Roman"/>
                <w:i w:val="0"/>
                <w:sz w:val="16"/>
              </w:rPr>
              <w:t>Programa de regulação psicoemocional contra grupo controle</w:t>
            </w:r>
          </w:p>
        </w:tc>
        <w:tc>
          <w:tcPr>
            <w:tcW w:w="1701" w:type="dxa"/>
            <w:tcBorders>
              <w:top w:val="single" w:sz="4" w:color="000000"/>
              <w:left w:val="single" w:sz="4" w:color="000000"/>
              <w:bottom w:val="single" w:sz="8" w:color="000000"/>
              <w:right w:val="single" w:sz="4" w:color="000000"/>
            </w:tcBorders>
          </w:tcPr>
          <w:p>
            <w:pPr>
              <w:spacing w:lineRule="exact" w:line="190" w:before="20" w:after="20"/>
              <w:jc w:val="left"/>
            </w:pPr>
            <w:r>
              <w:rPr>
                <w:rFonts w:ascii="Times New Roman" w:hAnsi="Times New Roman"/>
                <w:i w:val="0"/>
                <w:sz w:val="16"/>
              </w:rPr>
              <w:t>n.r.</w:t>
            </w:r>
          </w:p>
        </w:tc>
        <w:tc>
          <w:tcPr>
            <w:tcW w:w="1927" w:type="dxa"/>
            <w:tcBorders>
              <w:top w:val="single" w:sz="4" w:color="000000"/>
              <w:left w:val="single" w:sz="4" w:color="000000"/>
              <w:bottom w:val="single" w:sz="8" w:color="000000"/>
              <w:right w:val="single" w:sz="4" w:color="000000"/>
            </w:tcBorders>
          </w:tcPr>
          <w:p>
            <w:pPr>
              <w:spacing w:lineRule="exact" w:line="190" w:before="20" w:after="20"/>
              <w:jc w:val="left"/>
            </w:pPr>
            <w:r>
              <w:rPr>
                <w:rFonts w:ascii="Times New Roman" w:hAnsi="Times New Roman"/>
                <w:i w:val="0"/>
                <w:sz w:val="16"/>
              </w:rPr>
              <w:t>Questionário SAN; momentos n.r.</w:t>
            </w:r>
          </w:p>
        </w:tc>
        <w:tc>
          <w:tcPr>
            <w:tcW w:w="3175" w:type="dxa"/>
            <w:tcBorders>
              <w:top w:val="single" w:sz="4" w:color="000000"/>
              <w:left w:val="single" w:sz="4" w:color="000000"/>
              <w:bottom w:val="single" w:sz="8" w:color="000000"/>
              <w:right w:val="single" w:sz="4" w:color="000000"/>
            </w:tcBorders>
          </w:tcPr>
          <w:p>
            <w:pPr>
              <w:spacing w:lineRule="exact" w:line="190" w:before="20" w:after="20"/>
              <w:jc w:val="left"/>
            </w:pPr>
            <w:r>
              <w:rPr>
                <w:rFonts w:ascii="Times New Roman" w:hAnsi="Times New Roman"/>
                <w:i w:val="0"/>
                <w:sz w:val="16"/>
              </w:rPr>
              <w:t>Melhora de até 38% no bem-estar, na atividade e no humor, relatada apenas no resumo</w:t>
            </w:r>
          </w:p>
        </w:tc>
        <w:tc>
          <w:tcPr>
            <w:tcW w:w="1190" w:type="dxa"/>
            <w:tcBorders>
              <w:top w:val="single" w:sz="4" w:color="000000"/>
              <w:left w:val="single" w:sz="4" w:color="000000"/>
              <w:bottom w:val="single" w:sz="8" w:color="000000"/>
              <w:right w:val="single" w:sz="4" w:color="000000"/>
            </w:tcBorders>
          </w:tcPr>
          <w:p>
            <w:pPr>
              <w:spacing w:lineRule="exact" w:line="190" w:before="20" w:after="0"/>
              <w:jc w:val="center"/>
            </w:pPr>
            <w:r>
              <w:rPr>
                <w:rFonts w:ascii="Times New Roman" w:hAnsi="Times New Roman"/>
                <w:i w:val="0"/>
                <w:sz w:val="16"/>
              </w:rPr>
              <w:t>2</w:t>
            </w:r>
          </w:p>
          <w:p>
            <w:pPr>
              <w:spacing w:lineRule="exact" w:line="190" w:before="0" w:after="20"/>
              <w:jc w:val="center"/>
            </w:pPr>
            <w:r>
              <w:rPr>
                <w:rFonts w:ascii="Times New Roman" w:hAnsi="Times New Roman"/>
                <w:i w:val="0"/>
                <w:sz w:val="16"/>
              </w:rPr>
              <w:t>(baixa)</w:t>
            </w:r>
          </w:p>
        </w:tc>
      </w:tr>
    </w:tbl>
    <w:p>
      <w:pPr>
        <w:spacing w:before="40" w:after="0" w:line="240" w:lineRule="auto"/>
        <w:ind w:left="0" w:firstLine="0"/>
        <w:jc w:val="both"/>
      </w:pPr>
      <w:r>
        <w:rPr>
          <w:rFonts w:ascii="Times New Roman" w:hAnsi="Times New Roman"/>
          <w:i w:val="0"/>
          <w:sz w:val="20"/>
        </w:rPr>
        <w:t>Nota: n.r.: não relatado; BRUMS: Brunel Mood Scale; PANAS: Positive and Negative Affect Schedule; POMS: Profile of Mood States; SAN: questionário de bem-estar, atividade e humor; PSE: percepção subjetiva de esforço; ES: tamanho de efeito relatado pelos autores.</w:t>
      </w:r>
    </w:p>
    <w:p>
      <w:pPr>
        <w:spacing w:before="0" w:after="160" w:line="240" w:lineRule="auto"/>
        <w:ind w:left="0" w:firstLine="0"/>
        <w:jc w:val="left"/>
      </w:pPr>
      <w:r>
        <w:rPr>
          <w:rFonts w:ascii="Times New Roman" w:hAnsi="Times New Roman"/>
          <w:i w:val="0"/>
          <w:sz w:val="20"/>
        </w:rPr>
        <w:t>Fonte: elaborada pelos autores (2026).</w:t>
      </w:r>
    </w:p>
    <w:p>
      <w:pPr>
        <w:sectPr>
          <w:pgSz w:w="16838" w:h="11906" w:orient="landscape"/>
          <w:pgMar w:top="1701" w:right="1134" w:bottom="1134" w:left="1701" w:header="1134" w:footer="720" w:gutter="0"/>
          <w:cols w:space="720"/>
          <w:docGrid w:linePitch="360"/>
        </w:sectPr>
      </w:pPr>
    </w:p>
    <w:p>
      <w:pPr>
        <w:spacing w:before="0" w:after="120" w:line="360" w:lineRule="auto"/>
        <w:ind w:left="0" w:firstLine="0"/>
        <w:jc w:val="center"/>
      </w:pPr>
      <w:r>
        <w:rPr>
          <w:rFonts w:ascii="Times New Roman" w:hAnsi="Times New Roman"/>
          <w:b/>
          <w:sz w:val="24"/>
        </w:rPr>
        <w:t>APÊNDICE C – RELATÓRIOS EXCLUÍDOS NO TEXTO COMPLETO OU NÃO RECUPERADOS</w:t>
      </w:r>
    </w:p>
    <w:p>
      <w:pPr>
        <w:keepNext/>
        <w:spacing w:before="120" w:after="60" w:line="240" w:lineRule="auto"/>
        <w:ind w:left="0" w:firstLine="0"/>
        <w:jc w:val="both"/>
      </w:pPr>
      <w:r>
        <w:rPr>
          <w:rFonts w:ascii="Times New Roman" w:hAnsi="Times New Roman"/>
          <w:b/>
          <w:sz w:val="20"/>
        </w:rPr>
        <w:t>Quadro C1</w:t>
      </w:r>
      <w:r>
        <w:rPr>
          <w:rFonts w:ascii="Times New Roman" w:hAnsi="Times New Roman"/>
          <w:i w:val="0"/>
          <w:sz w:val="20"/>
        </w:rPr>
        <w:t xml:space="preserve"> – Relatórios reavaliados no texto completo e excluídos ou não recuperados, com o motivo</w:t>
      </w:r>
    </w:p>
    <w:tbl>
      <w:tblPr>
        <w:jc w:val="center"/>
        <w:tblLayout w:type="fixed"/>
        <w:tblLook w:firstColumn="1" w:firstRow="1" w:lastColumn="0" w:lastRow="0" w:noHBand="0" w:noVBand="1" w:val="04A0"/>
        <w:tblW w:w="14004" w:type="dxa"/>
        <w:tblLayout w:type="fixed"/>
      </w:tblPr>
      <w:tblGrid>
        <w:gridCol w:w="1927"/>
        <w:gridCol w:w="6690"/>
        <w:gridCol w:w="5386"/>
      </w:tblGrid>
      <w:tr>
        <w:trPr>
          <w:tblHeader w:val="true"/>
        </w:trPr>
        <w:tc>
          <w:tcPr>
            <w:tcW w:w="1927" w:type="dxa"/>
            <w:tcBorders>
              <w:top w:val="single" w:sz="8" w:color="000000"/>
              <w:left w:val="single" w:sz="4" w:color="000000"/>
              <w:bottom w:val="single" w:sz="6" w:color="000000"/>
              <w:right w:val="single" w:sz="4" w:color="000000"/>
            </w:tcBorders>
          </w:tcPr>
          <w:p>
            <w:pPr>
              <w:spacing w:lineRule="exact" w:line="190"/>
              <w:jc w:val="center"/>
            </w:pPr>
            <w:r>
              <w:rPr>
                <w:rFonts w:ascii="Times New Roman" w:hAnsi="Times New Roman"/>
                <w:b/>
                <w:sz w:val="16"/>
              </w:rPr>
              <w:t>Registro</w:t>
            </w:r>
          </w:p>
        </w:tc>
        <w:tc>
          <w:tcPr>
            <w:tcW w:w="6690" w:type="dxa"/>
            <w:tcBorders>
              <w:top w:val="single" w:sz="8" w:color="000000"/>
              <w:left w:val="single" w:sz="4" w:color="000000"/>
              <w:bottom w:val="single" w:sz="6" w:color="000000"/>
              <w:right w:val="single" w:sz="4" w:color="000000"/>
            </w:tcBorders>
          </w:tcPr>
          <w:p>
            <w:pPr>
              <w:spacing w:lineRule="exact" w:line="190"/>
              <w:jc w:val="center"/>
            </w:pPr>
            <w:r>
              <w:rPr>
                <w:rFonts w:ascii="Times New Roman" w:hAnsi="Times New Roman"/>
                <w:b/>
                <w:sz w:val="16"/>
              </w:rPr>
              <w:t>Referência recuperada</w:t>
            </w:r>
          </w:p>
        </w:tc>
        <w:tc>
          <w:tcPr>
            <w:tcW w:w="5386" w:type="dxa"/>
            <w:tcBorders>
              <w:top w:val="single" w:sz="8" w:color="000000"/>
              <w:left w:val="single" w:sz="4" w:color="000000"/>
              <w:bottom w:val="single" w:sz="6" w:color="000000"/>
              <w:right w:val="single" w:sz="4" w:color="000000"/>
            </w:tcBorders>
          </w:tcPr>
          <w:p>
            <w:pPr>
              <w:spacing w:lineRule="exact" w:line="190"/>
              <w:jc w:val="center"/>
            </w:pPr>
            <w:r>
              <w:rPr>
                <w:rFonts w:ascii="Times New Roman" w:hAnsi="Times New Roman"/>
                <w:b/>
                <w:sz w:val="16"/>
              </w:rPr>
              <w:t>Motivo da exclusão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Johnson et al. (2001)</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JOHNSON et al. (2001). Referência completa não localizada (título, revista e DOI n.r.).</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Identificado na atualização como resumo de congresso (ISSP, 2001), estudo de caso sem versão aberta; não recuperado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Hemmatinezhad et al. (2012)</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HEMMATINEZHAD, M. A.; RAMAZANINEZHAD, R.; GHEZELSEFLOO, H. et al. Relationship between emotional intelligence and athlete's mood with team-efficiency and performance in elite handball players. International Journal of Sport Studies, v. 2, n. 3, p. 155-162, 201</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Identificado na atualização (International Journal of Sport Studies, 2012), sem resumo nem texto aberto; não recuperado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Hazar (2013)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HAZAR (2013). Referência completa não localizada (título, revista e DOI n.r.).</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Mede apenas a raiva estado-traço (STAS), fora do conceito de humor do protocolo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Laborde e Raab (2013)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LABORDE, S.; RAAB, M. The tale of hearts and reason: the influence of mood on decision making. Journal of Sport and Exercise Psychology, v. 35, n. 4, p. 339-357, 2013. DOI: https://doi.org/10.1123/jsep.35.4.339.</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Humor induzido sem instrumento nomeado; parte da amostra não praticava handebol</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Karcher, Ahmaidi e Buchheit (2014)</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KARCHER, C.; AHMAIDI, S.; BUCHHEIT, M. Body dimensions of elite handball players with respect to laterality, playing positions and playing standard. Journal of Athletic Enhancement, v. 3, n. 4, 2014. DOI: https://doi.org/10.4172/2324-9080.1000160.</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O identificador digital corresponde a estudo sobre estatura e massa corporal, sem medida de humor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Fadilah e Wibowo (2018)</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FADILAH, M.; WIBOWO, R. Kontribusi keterampilan gerak fundamental terhadap keterampilan bermain small-sided handball games. Jurnal Pendidikan Jasmani dan Olahraga, v. 3, n. 1, p. 60, 2018. DOI: https://doi.org/10.17509/jpjo.v3i1.7667.</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O identificador digital corresponde a estudo sobre habilidades motoras de escolares, sem medida de humor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Ivanović (2023)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n.r. (referência completa não localizada)</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Não localizado: sem título, identificador ou periódico verificáveis</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Bugten et al. (2026)</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BUGTEN, J. B. et al. Youth Sport Players’ Enjoyment in Team Practice Sessions: The Daily Impact of Coaches and Basic Psychological Need Satisfaction. Journal of Sport and Exercise Psychology, v. 48, n. 5, p. 315-323, 2026. DOI: https://doi.org/10.1123/jsep.202</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O artigo publicado mede apenas o prazer esportivo; a escala de afeto aparece somente no preprint</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Skarbalius (2026)</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SKARBALIUS, A. Integrated monitoring of training and sport performance throughout an entire handball season: practical applications in semi-professional female players. Frontiers in Sports and Active Living, v. 8, 2026. DOI: https://doi.org/10.3389/fspor.2026.</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Humor medido por item único de questionário de bem-estar, equivalente ao índice de Hooper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Simonelli et al. (2026)</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SIMONELLI, C. et al. Physiological and psychological assessment of high-intensity interval training, full-sided and small-sided games in elite handball players. International Journal of Performance Analysis in Sport, v. 26, n. 5, p. 1115-1126, 2026. DOI: https</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Escala de distresse de treino sem dimensão de humor relatada no material acessível</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Bugten et al. (2026, preprint)</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BUGTEN, J. B. et al. Youth players basic need satisfaction, enjoyment and pleasure within daily team sport training sessions, and the relationships with physical load engagement: an intensive within-person longitudinal study. Research Square, 2026. Preprint. D</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preprint sem revisão por pares; excluído pelo critério de somente artigos completos em periódicos</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Barbry et al. (2021)</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BARBRY, A. et al. Is football or badminton associated with more positive affect? The links between affects and sports club membership among French adolescents. Frontiers in Psychology, v. 12, 735189, 2021. DOI: https://doi.org/10.3389/fpsyg.2021.735189</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afeto medido por 12 adjetivos, sem nome nem validação do instrumento; n do handebol não relatado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Ratz-Sulyok et al. (2026, resumo)</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RATZ-SULYOK, F. Z. et al. Stress and sex hormone changes of young elite handball players in relation to their mood profiles. Anthropologiai Közlemények, n. 67, supl., p. 108, 2026.</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resumo de congresso da amostra de Ratz-Sulyok et al. (2026); excluído pelo critério de somente artigos completos</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Nugraha, Wibowo e Firmansyah (2020)</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 xml:space="preserve">NUGRAHA, E.; WIBOWO, R.; FIRMANSYAH, H. Mood states and game performance in invasion game activities: a correlation study among elementary school students. In: INTERNATIONAL CONFERENCE ON SPORT SCIENCE, HEALTH, AND PHYSICAL EDUCATION (ICSSHPE 2019), 4., 2019, </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trabalho completo em anais de congresso; excluído pelo critério de somente artigos em periódicos</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Mubarak (2013)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MUBARAK, E. J. Special resistance exercises for deception and accuracy of shooting and their impact on the emotional response of handball players. Modern Sport, v. 12, n. 20, p. 1-38, 2013. DOI: https://doi.org/10.54702/2708-3454.1372</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o resumo descreve jogadoras de voleibol; resposta emocional sem instrumento nomeado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Bauer et al. (2024)</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BAUER, J. et al. Interaction between the leg recovery test and subjective measures of fatigue in handball players: short-, mid-, and long-term assessment. Frontiers in Sports and Active Living, v. 6, 1474385, 2024. DOI: https://doi.org/10.3389/fspor.2024.1474385</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escala curta de recuperação e estresse (KEB), não instrumento de humor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Erden e Emirzeoğlu (2020)</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ERDEN, A.; EMIRZEOĞLU, M. Investigation of body awareness level and performance emotional status of athletes in different branches of sports. Journal of Sport Rehabilitation, v. 29, n. 1, p. 23-27, 2020. DOI: https://doi.org/10.1123/jsr.2018-0334</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escala de estado emocional de desempenho (COPES-2), não instrumento de humor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Suárez Iglesias et al. (2023)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SUÁREZ IGLESIAS, D. et al. The impact of COVID-19 on healthy habits and psychological well-being of Chilean female handball players. E-balonmano.com: Journal of Sports Science, v. 19, n. 1, p. 1-12, 2023. DOI: https://doi.org/10.17398/1885-7019.19.1</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não recuperado (acesso bloqueado); instrumento de bem-estar não identificável</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Bougrine et al. (2023)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BOUGRINE, H. et al. Does Ramadan intermittent fasting affect the intraday variations of cognitive and high-intensity short-term maximal performances in young female handball players? Biological Rhythm Research, v. 54, n. 4, p. 399-418, 2023. DOI: https://doi.org/10.1080/09291016.2023.2198794</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não recuperado (texto sob assinatura e sem resumo); medida de humor não identificável</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Lira et al. (2017)</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 xml:space="preserve">LIRA, H. A. et al. O estado de humor e a insatisfação corporal possuem relação com os comportamentos de risco para transtornos alimentares em atletas de esportes coletivos do sexo masculino? </w:t>
            </w:r>
            <w:r>
              <w:rPr>
                <w:rFonts w:ascii="Times New Roman" w:hAnsi="Times New Roman"/>
                <w:b/>
                <w:sz w:val="16"/>
              </w:rPr>
              <w:t>Revista Brasileira de Ciência e Movimento</w:t>
            </w:r>
            <w:r>
              <w:rPr>
                <w:rFonts w:ascii="Times New Roman" w:hAnsi="Times New Roman"/>
                <w:i w:val="0"/>
                <w:sz w:val="16"/>
              </w:rPr>
              <w:t>, v. 25, n. 3, p. 89, 2017. DOI: https://doi.org/10.31501/rbcm.v25i3.7778</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não é handebol / dados não separáveis: BRUMS aplicada a futebol (36), basquete (18) e handebol (16), com correlações só para a amostra conjunta (resumo e monografia do mesmo estudo, UFPE). O DOI e o link da revista levam a outro artigo; PDF da versão publicada não acessado.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Korobeinikova et al. (2025)</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 xml:space="preserve">KOROBEINIKOVA, L. et al. Gender features of psychophysiological state in handball players. </w:t>
            </w:r>
            <w:r>
              <w:rPr>
                <w:rFonts w:ascii="Times New Roman" w:hAnsi="Times New Roman"/>
                <w:b/>
                <w:sz w:val="16"/>
              </w:rPr>
              <w:t>Health, Sport, Rehabilitation</w:t>
            </w:r>
            <w:r>
              <w:rPr>
                <w:rFonts w:ascii="Times New Roman" w:hAnsi="Times New Roman"/>
                <w:i w:val="0"/>
                <w:sz w:val="16"/>
              </w:rPr>
              <w:t>, v. 11, n. 4, p. 6-16, 2025. DOI: https://doi.org/10.58962/HSR.2025.1276</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não mede humor por instrumento declarado: estado psicoemocional avaliado pelo teste de cores de Lüscher (teste projetivo), não por escala de humor ou afeto.</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Ravier et al. (2019)</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 xml:space="preserve">RAVIER, G. et al. Physiological and affective responses of 30s-30s intermittent small-sided game in elite handball players: a new alternative to intermittent running. </w:t>
            </w:r>
            <w:r>
              <w:rPr>
                <w:rFonts w:ascii="Times New Roman" w:hAnsi="Times New Roman"/>
                <w:b/>
                <w:sz w:val="16"/>
              </w:rPr>
              <w:t>Journal of Human Sport and Exercise</w:t>
            </w:r>
            <w:r>
              <w:rPr>
                <w:rFonts w:ascii="Times New Roman" w:hAnsi="Times New Roman"/>
                <w:i w:val="0"/>
                <w:sz w:val="16"/>
              </w:rPr>
              <w:t>, v. 14, n. 3, 2019. DOI: https://doi.org/10.14198/jhse.2019.143.05</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não mede humor por instrumento declarado: prazer avaliado na escala CR-10 de Borg e balanço afetivo calculado como PSE menos prazer; prazer isolado, sem escala de humor ou afeto validada.</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Batista et al. (2019)</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 xml:space="preserve">BATISTA, M. et al. Practice motivation and life satisfaction of athletes of team sports: comparative study between adapted and regular sport. </w:t>
            </w:r>
            <w:r>
              <w:rPr>
                <w:rFonts w:ascii="Times New Roman" w:hAnsi="Times New Roman"/>
                <w:b/>
                <w:sz w:val="16"/>
              </w:rPr>
              <w:t>Journal of Human Sport and Exercise</w:t>
            </w:r>
            <w:r>
              <w:rPr>
                <w:rFonts w:ascii="Times New Roman" w:hAnsi="Times New Roman"/>
                <w:i w:val="0"/>
                <w:sz w:val="16"/>
              </w:rPr>
              <w:t>, v. 14, n. Proc1, 2019. DOI: https://doi.org/10.14198/jhse.2019.14.proc1.03</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não é handebol / dados não separáveis: PANAS em atletas de handebol e basquetebol (adaptado e regular) analisados em conjunto, sem resultados do handebol.</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Kashapov, Ogorodova e Filippovich (2018)</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 xml:space="preserve">KASHAPOV, M.; OGORODOVA, T. V.; FILIPPOVICH, K. N. Types of reaction in conflict and their relation to dominant mental state of athletes. </w:t>
            </w:r>
            <w:r>
              <w:rPr>
                <w:rFonts w:ascii="Times New Roman" w:hAnsi="Times New Roman"/>
                <w:b/>
                <w:sz w:val="16"/>
              </w:rPr>
              <w:t>Vestnik of Saint Petersburg University. Psychology</w:t>
            </w:r>
            <w:r>
              <w:rPr>
                <w:rFonts w:ascii="Times New Roman" w:hAnsi="Times New Roman"/>
                <w:i w:val="0"/>
                <w:sz w:val="16"/>
              </w:rPr>
              <w:t>, v. 8, n. 2, 2018. DOI: https://doi.org/10.21638/11701/spbu16.2018.206</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outro idioma (não inglês, português, espanhol): artigo em russo (metadado dc.language.iso = ru do repositório SPbU); amostra multiesporte e instrumento de estado mental n.r. no resumo. PDF não acessado (repositório fora do ar).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Diachenko e Tyshchenko (2023)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DIACHENKO, M. V.; TYSHCHENKO, V. O. Characteristics of the mental and emotional state of female handball players during the preparatory period. Olympicus, n. 3, p. 63-69, 2023. DOI: https://doi.org/10.24195/olympicus/2023-3.10</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Segunda busca de citações: mede o humor (SAN) de handebolistas, mas o texto completo está em ucraniano (idioma fora dos critérios)</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Dyadechko (2016)</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DYADECHKO, I. Influence of training loads on psychophysiological indicators of handball players in different phases of the menstrual cycle. Slobozhanskyi Herald of Science and Sport, n. 6, 2016. DOI: https://doi.org/10.15391/snsv.2016-6.007</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Segunda busca de citações: não recuperado (sem resumo e texto bloqueado); medida de humor não verificável</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Bursik et al. (2024)</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BURSIK, J. et al. Risk profiles for self-medication with analgesics among elite German handball players. International Review for the Sociology of Sport, 2024. DOI: https://doi.org/10.1177/10126902241280156</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decisão pelo resumo (texto bloqueado): afetividade negativa como traço, sem escala de humor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Klatt et al. (2021)</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KLATT, S. et al. Performance changes and recovery time in U20 and older handball players after a high-intensity sprint exercise. Applied Sciences, 2021. DOI: https://doi.org/10.3390/app11115301</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decisão pelo resumo: mede esforço percebido, dor muscular e estresse, sem escala de humor</w:t>
            </w:r>
          </w:p>
        </w:tc>
      </w:tr>
      <w:tr>
        <w:tc>
          <w:tcPr>
            <w:tcW w:w="1927"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Tese no Dialnet (2023)</w:t>
            </w:r>
          </w:p>
        </w:tc>
        <w:tc>
          <w:tcPr>
            <w:tcW w:w="6690"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Factores físicos y psicológicos relacionados con la inestabilidad crónica de tobillo en jugadores de balonmano de categorías inferiores. Tese, 2023. Registro no Dialnet</w:t>
            </w:r>
          </w:p>
        </w:tc>
        <w:tc>
          <w:tcPr>
            <w:tcW w:w="5386" w:type="dxa"/>
            <w:tcBorders>
              <w:top w:val="single" w:sz="4" w:color="000000"/>
              <w:left w:val="single" w:sz="4" w:color="000000"/>
              <w:bottom w:val="single" w:sz="4" w:color="000000"/>
              <w:right w:val="single" w:sz="4" w:color="000000"/>
            </w:tcBorders>
          </w:tcPr>
          <w:p>
            <w:pPr>
              <w:spacing w:lineRule="exact" w:line="190" w:before="20" w:after="20"/>
              <w:jc w:val="left"/>
            </w:pPr>
            <w:r>
              <w:rPr>
                <w:rFonts w:ascii="Times New Roman" w:hAnsi="Times New Roman"/>
                <w:i w:val="0"/>
                <w:sz w:val="16"/>
              </w:rPr>
              <w:t>Atualização, decisão pelo resumo: ansiedade, personalidade, depressão e cinesiofobia, sem escala de humor</w:t>
            </w:r>
          </w:p>
        </w:tc>
      </w:tr>
      <w:tr>
        <w:tc>
          <w:tcPr>
            <w:tcW w:w="1927" w:type="dxa"/>
            <w:tcBorders>
              <w:top w:val="single" w:sz="4" w:color="000000"/>
              <w:left w:val="single" w:sz="4" w:color="000000"/>
              <w:bottom w:val="single" w:sz="8" w:color="000000"/>
              <w:right w:val="single" w:sz="4" w:color="000000"/>
            </w:tcBorders>
          </w:tcPr>
          <w:p>
            <w:pPr>
              <w:spacing w:lineRule="exact" w:line="190" w:before="20" w:after="20"/>
              <w:jc w:val="left"/>
            </w:pPr>
            <w:r>
              <w:rPr>
                <w:rFonts w:ascii="Times New Roman" w:hAnsi="Times New Roman"/>
                <w:i w:val="0"/>
                <w:sz w:val="16"/>
              </w:rPr>
              <w:t>Abbas, Zeghair e Hasan (2021)</w:t>
            </w:r>
          </w:p>
        </w:tc>
        <w:tc>
          <w:tcPr>
            <w:tcW w:w="6690" w:type="dxa"/>
            <w:tcBorders>
              <w:top w:val="single" w:sz="4" w:color="000000"/>
              <w:left w:val="single" w:sz="4" w:color="000000"/>
              <w:bottom w:val="single" w:sz="8" w:color="000000"/>
              <w:right w:val="single" w:sz="4" w:color="000000"/>
            </w:tcBorders>
          </w:tcPr>
          <w:p>
            <w:pPr>
              <w:spacing w:lineRule="exact" w:line="190" w:before="20" w:after="20"/>
              <w:jc w:val="left"/>
            </w:pPr>
            <w:r>
              <w:rPr>
                <w:rFonts w:ascii="Times New Roman" w:hAnsi="Times New Roman"/>
                <w:i w:val="0"/>
                <w:sz w:val="16"/>
              </w:rPr>
              <w:t>ABBAS, K. H.; ZEGHAIR, H. O.; HASAN, O. N. Analytical study on the effectiveness of psychological health among handball players of the premium class. 2021</w:t>
            </w:r>
          </w:p>
        </w:tc>
        <w:tc>
          <w:tcPr>
            <w:tcW w:w="5386" w:type="dxa"/>
            <w:tcBorders>
              <w:top w:val="single" w:sz="4" w:color="000000"/>
              <w:left w:val="single" w:sz="4" w:color="000000"/>
              <w:bottom w:val="single" w:sz="8" w:color="000000"/>
              <w:right w:val="single" w:sz="4" w:color="000000"/>
            </w:tcBorders>
          </w:tcPr>
          <w:p>
            <w:pPr>
              <w:spacing w:lineRule="exact" w:line="190" w:before="20" w:after="20"/>
              <w:jc w:val="left"/>
            </w:pPr>
            <w:r>
              <w:rPr>
                <w:rFonts w:ascii="Times New Roman" w:hAnsi="Times New Roman"/>
                <w:i w:val="0"/>
                <w:sz w:val="16"/>
              </w:rPr>
              <w:t>Atualização: não recuperado; sem resumo, DOI ou texto localizado e sem indicação de instrumento de humor</w:t>
            </w:r>
          </w:p>
        </w:tc>
      </w:tr>
    </w:tbl>
    <w:p>
      <w:pPr>
        <w:spacing w:before="40" w:after="160" w:line="240" w:lineRule="auto"/>
        <w:ind w:left="0" w:firstLine="0"/>
        <w:jc w:val="left"/>
      </w:pPr>
      <w:r>
        <w:rPr>
          <w:rFonts w:ascii="Times New Roman" w:hAnsi="Times New Roman"/>
          <w:i w:val="0"/>
          <w:sz w:val="20"/>
        </w:rPr>
        <w:t>Fonte: elaborada pelos autores (2026).</w:t>
      </w:r>
    </w:p>
    <w:p>
      <w:pPr>
        <w:sectPr>
          <w:pgSz w:w="16838" w:h="11906" w:orient="landscape"/>
          <w:pgMar w:top="1701" w:right="1134" w:bottom="1134" w:left="1701" w:header="1134" w:footer="720" w:gutter="0"/>
          <w:cols w:space="720"/>
          <w:docGrid w:linePitch="360"/>
        </w:sectPr>
      </w:pPr>
    </w:p>
    <w:p>
      <w:pPr>
        <w:spacing w:before="0" w:after="120" w:line="360" w:lineRule="auto"/>
        <w:ind w:left="0" w:firstLine="0"/>
        <w:jc w:val="center"/>
      </w:pPr>
      <w:r>
        <w:rPr>
          <w:rFonts w:ascii="Times New Roman" w:hAnsi="Times New Roman"/>
          <w:b/>
          <w:sz w:val="24"/>
        </w:rPr>
        <w:t>APÊNDICE D – LIMITAÇÕES DECLARADAS E FRAGILIDADES IDENTIFICADAS NA LEITURA INTEGRAL</w:t>
      </w:r>
    </w:p>
    <w:p>
      <w:pPr>
        <w:keepNext/>
        <w:spacing w:before="120" w:after="60" w:line="240" w:lineRule="auto"/>
        <w:ind w:left="0" w:firstLine="0"/>
        <w:jc w:val="both"/>
      </w:pPr>
      <w:r>
        <w:rPr>
          <w:rFonts w:ascii="Times New Roman" w:hAnsi="Times New Roman"/>
          <w:b/>
          <w:sz w:val="20"/>
        </w:rPr>
        <w:t>Quadro D1</w:t>
      </w:r>
      <w:r>
        <w:rPr>
          <w:rFonts w:ascii="Times New Roman" w:hAnsi="Times New Roman"/>
          <w:i w:val="0"/>
          <w:sz w:val="20"/>
        </w:rPr>
        <w:t xml:space="preserve"> – Limitações declaradas pelos autores e fragilidades identificadas pelos revisores na leitura integral de cada estudo</w:t>
      </w:r>
    </w:p>
    <w:tbl>
      <w:tblPr>
        <w:jc w:val="center"/>
        <w:tblLayout w:type="fixed"/>
        <w:tblLook w:firstColumn="1" w:firstRow="1" w:lastColumn="0" w:lastRow="0" w:noHBand="0" w:noVBand="1" w:val="04A0"/>
        <w:tblW w:w="14004" w:type="dxa"/>
        <w:tblLayout w:type="fixed"/>
      </w:tblPr>
      <w:tblGrid>
        <w:gridCol w:w="1701"/>
        <w:gridCol w:w="1020"/>
        <w:gridCol w:w="4195"/>
        <w:gridCol w:w="7087"/>
      </w:tblGrid>
      <w:tr>
        <w:trPr>
          <w:tblHeader w:val="true"/>
        </w:trPr>
        <w:tc>
          <w:tcPr>
            <w:tcW w:w="1701"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Estudo</w:t>
            </w:r>
          </w:p>
        </w:tc>
        <w:tc>
          <w:tcPr>
            <w:tcW w:w="1020"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Fonte lida</w:t>
            </w:r>
          </w:p>
        </w:tc>
        <w:tc>
          <w:tcPr>
            <w:tcW w:w="4195"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Limitações declaradas pelos autores</w:t>
            </w:r>
          </w:p>
        </w:tc>
        <w:tc>
          <w:tcPr>
            <w:tcW w:w="7087" w:type="dxa"/>
            <w:tcBorders>
              <w:top w:val="single" w:sz="8" w:color="000000"/>
              <w:left w:val="single" w:sz="4" w:color="000000"/>
              <w:bottom w:val="single" w:sz="6" w:color="000000"/>
              <w:right w:val="single" w:sz="4" w:color="000000"/>
            </w:tcBorders>
          </w:tcPr>
          <w:p>
            <w:pPr>
              <w:spacing w:lineRule="exact" w:line="170"/>
              <w:jc w:val="center"/>
            </w:pPr>
            <w:r>
              <w:rPr>
                <w:rFonts w:ascii="Times New Roman" w:hAnsi="Times New Roman"/>
                <w:b/>
                <w:sz w:val="14"/>
              </w:rPr>
              <w:t>Fragilidades identificadas na leitura</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Farzanegi et al. ([2008?])</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resumo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n.r.</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Fonte primária inacessível; dados derivados de fragmentos de mecanismo de busca, sem verificação literal. Ano (2008), revista, volume e primeiro autor não confirmados (o registro lista Farzanegi e Ebrahimpour). Direção do aumento do POMS (piora do humor se escore total de perturbação) não interpretável sem o texto. Recomenda-se nova tentativa de acesso ou contato com os autores; sensibilidade da síntese sem este estudo.</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Bresciani et al. (2010)</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Relevância fisiológica das correlações entre marcadores e carga considerada incerta; necessidade de novos estudos. Nenhuma limitação metodológica específica do humor foi declarada.</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Amostra pequena (n = 14) de um único clube, sem grupo controle; MANOVA de medidas repetidas com cinco momentos e 14 sujeitos tem baixo poder. DP muito grandes nas escalas negativas (por exemplo tensão em T3 6,6 ± 13,8) sugerem distribuições assimétricas, sem tratamento não paramétrico. A queda da fadiga de T1 (13,9 ± 4,0) para T2 a T5 (7,2 a 9,6) tem magnitude grande (d calculado entre -0,79 e -1,54) e não foi sinalizada como significativa, o que sugere erro tipográfico no valor de T1 ou falta de poder. A constante usada no cálculo da PTH não é declarada. T1 ocorre antes do preparatório, de modo que a comparação com o início da temporada confunde efeito de carga com efeito sazonal. A carga do período de recuperação (1901 ± 400) é semelhante à do PP2, o que fragiliza a interpretação de T5 como recuperação. Correlações carga e variáveis psicológicas calculadas sobre cinco pontos agregados (R² elevados com poucos graus de liberdade).</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Rocha, Lopes e Moraes (2010)</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ambiente laboratorial dificulta a simulação de situações psicológicas; sugere-se estudo semelhante no ambiente ecológico do atleta.</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Afeto relatado apenas em gráfico, sem valores nem estatísticas; impossível extrair tamanho de efeito. Contradição entre resumo (aumento do afeto) e discussão (atletas passaram a sentir-se mal). A linha de base foi sempre a primeira sessão, o que confunde condição com ordem e familiarização. Número de medidas declarado (11) não coincide com os minutos listados (10), e os minutos do cortisol diferem entre método e tabela. ANOVA two-way sem descrição de post hoc ou de correção para múltiplas comparações em 11 pontos e quatro sessões. Ausência de idade e nível dos atletas. Cegamento descrito, mas a manipulação era verbal e conhecida pelos pesquisadores. Tarefa de corrida em esteira, não específica do handebol.</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Schiavini e Arena (2010)</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n.r.</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Análise apenas descritiva com duas comparações (n = 2 jogos), sem teste nem controle de qualidade técnica das equipes; a inferência causal do humor sobre o resultado não é sustentada. Percentuais calculados sobre respostas, não sobre atletas, e a equipe B tinha apenas 7 atletas. Lista de adjetivos do método difere da usada nas tabelas (tímido e desagradável aparecem como negativos). Erro de redação na comparação (A e C contra C e D). Divergência de tempo de aplicação entre resumo (40 min) e texto (45 min). LEA-RI sem confiabilidade relatada. A afirmação do resumo sobre análise por valores absolutos da média não corresponde à análise percentual do texto.</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Al-Wattar e Al-Badrane (2014)</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n.r. (os autores descrevem controles de validade interna e externa, sem declarar limitações).</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Amostra experimental de apenas 6 jogadores selecionados pelos escores extremos de humor negativo, o que favorece regressão à média. Sem grupo controle; a segunda fase A não constitui retirada com retorno ao padrão, de modo que a melhora sustentada não distingue efeito do programa de efeito do tempo. ANOVA por jogador com medidas repetidas tratadas como independentes (gl 2 e 9) e dezenas de testes sem correção. O pesquisador aplicou o programa e as medidas (risco de viés de expectativa). Inconsistência textual: o texto atribui a ausência de diferença na confusão ao jogador 3 (Sig 0,107), mas a tabela atribui ao jogador 6. A escala é aplicada online em plataforma de perfil de humor citada, mas o modo de aplicação no estudo não está claro. O clube é o Al-Futuwa, não o Mosul Sports Club.</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Zurita Ortega et al. (2014)</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Necessidade de análises que verifiquem o efeito individual de cada variável, de amostra maior e com homens, de replicação em outras modalidades e com atletas de elite, e de inclusão de novas variáveis preditoras.</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Circularidade: o número de lesões na temporada entra como preditor e, dicotomizado, também é o desfecho. Efeito do POMS não relatado, logo o estudo não informa a relação humor e lesão. Tabelas incoerentes: Tabela 4 soma 45 casos e Tabela 5 apresenta totais e percentuais incompatíveis (75,51% com células que não fecham). Inconsistências de amostra (equipe 1 com 12 participantes, 5 seniores e 6 juvenis; equipe 4 descrita só com seniores, média 17,3 anos). DT de idade de 0,20 com amplitude 16 a 26 é implausível. Resumo em inglês cita SCAT e o método usa CSAI-2R. Dimensões do POMS listadas incluem amizade e omitem confusão. Alfa do STAI traço impresso como .090. Medidas mensais sem descrição de agregação ou de relação temporal com as lesões.</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Montes e Gomes (2014)</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resumo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n.r. (texto completo inacessível)</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Apenas o resumo foi acessível; sem números, testes ou demais subescalas. Amostra pequena de uma equipe. O teste Yo-yo Intermitente de Recuperação avalia predominantemente capacidade intermitente e aeróbia, não resistência anaeróbia stricto sensu. A ordem dos momentos é ambígua (M1 descrito como início da temporada competitiva antes de um mesociclo preparatório). Sem controle de confusão.</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Pereira et al. (2014)</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caráter transversal não permite determinar se o leve desequilíbrio das meninas é momentâneo ou crônico.</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Amostra de handebol muito pequena (n = 7); comparador apenas o valor de referência de 100 pontos; os autores descrevem a média de PTH das meninas como acima da normalidade, mas a diferença não foi significativa (p = 0,1740); a comparação com os meninos do basquetebol mistura sexo e modalidade e não foi testada. Referência da versão reduzida do POMS trocada no texto. Sonolência diurna das meninas relatada como 11,6 ± 4,08 no resumo em português e na tabela e 11,6 ± 4,8 no resumo em inglês.</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Lagner et al. (2015)</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Tarefas executivas e de memória prospectiva relativamente fáceis em papel e lápis; contrabalanceamento incompleto dos materiais (mesmas versões sempre na partida) e ordem fixa das tarefas; apenas humor positivo comparado com neutro, pois quase todas as equipes venceram; dificuldade de garantir que o humor seja a principal diferença entre condições em campo.</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Graus de liberdade do humor (1,180) incoerentes com n = 61 (esperado 1,60), o que sugere erro de relato; o η² de 0,34 não é ηp² e não é diretamente comparável. Médias do SAM sem valores numéricos. A codificação do SAM (baixo = positivo) é inversa à usual e deve ser considerada ao combinar estudos. Seleção dos jogadores pelo resultado (apenas vencedores) introduz viés de seleção. A afirmação do resumo de que todas as diferenças de memória desapareceram com a covariável não vale para a memória visuoespacial (p = 0,04). Mediação inferida por redução do efeito em ANCOVA, sem teste formal. Nível amador e homens apenas.</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Buchheit (2015)</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resumo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n.r. no resumo.</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Apenas o resumo foi acessível (texto completo da Thieme sob assinatura; sem versão em acesso aberto). Sexo, idade, versão do POMS, escores de humor e o critério de mudança significativa são desconhecidos. O humor serve como preditor de desempenho, não como desfecho; não há dados para tamanho de efeito.</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Khazdozi, Bahari e Ashayeri (2017)</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resultado nulo da motivação pode decorrer da população específica e da natureza das variáveis.</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Resumo afirma que o grupo experimental aqueceu sem música, em contradição com o objetivo. Análise declarada (ANCOVA) difere da relatada (Mann-Whitney). O valor P = 0,124 do resumo não aparece nas tabelas (a motivação tem 0,143). A Figura 2 não mostra mudança apreciável em nenhum grupo, o que é incompatível com uma diferença significativa entre as variações, e não há médias nem DP numéricos. Grupos desiguais no pré-teste sem ajuste relatado. Instrumento de 32 itens e oito componentes não corresponde à BRUMS original (24 itens, seis dimensões); dimensões não analisadas separadamente. Intervenção não descrita (música, duração, sessões). Idade ausente. Poder declarado de 50%. Publicação duplicada em outra revista.</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Obregón Sibón et al. (2017)</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resumo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n.r. no resumo.</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Apenas o resumo está acessível. Contradição interna sobre a direção do vigor: os resultados falam em incremento e a conclusão em diminuição; o mesmo sinal negativo dos t de fadiga e vigor sugere mudança no mesmo sentido, mas a convenção de cálculo não é informada. Amostra pequena, sem controle, sem médias e DP, e com apenas três fatores do POMS relatados. Não há indicação de que a partida fosse oficial.</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Assunção Carvalho et al. (2018)</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Intervenção curta (28 dias); coleta na pré-temporada; impossibilidade de análise por posição pelo pequeno número de atletas (sobretudo pivôs); atividades físicas no restante do dia não avaliadas; farmacocinética do composto não investigada (efeito poderia ser da última dose).</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Amostra menor que a estimada no cálculo amostral (12 e 13 contra 17 por grupo). A interação significativa não foi acompanhada de diferença entre grupos no pós-teste, de modo que o efeito sobre o humor se apoia em mudanças dentro do grupo. O grupo SC partiu de valores numericamente piores (perturbação 100,7; fadiga 6,2), o que favorece regressão à média. Raglin e Morgan (1994) descreveram uma escala curta de distresse derivada do POMS, não uma versão de 36 itens; escala de resposta, forma de pontuação (valores negativos de confusão e tensão) e confiabilidade não relatados. Resultados das dimensões não significativas omitidos (relato seletivo). Correlação CK-humor com n = 12, sem correção para múltiplos testes. Procedimento de cegamento não descrito, embora as bebidas tivessem composição e provavelmente cor e sabor diferentes.</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Durai e Athisayaraj (2018)</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Nenhuma limitação declarada.</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Amostra muito pequena e de conveniência, sem descrição de nível competitivo nem do momento da medida. O valor t = 4,52 é incompatível com as médias e DP relatados: com diferença de 4,89 e DP combinado de cerca de 8,29, o t esperado seria de aproximadamente 1,45 (não significativo com gl = 22). A conclusão de humor melhor para o escore maior contraria a leitura usual do POMS (escore total maior indica maior perturbação), salvo pontuação não convencional não descrita. Apenas o escore global foi analisado, sem subescalas. Ausência de referência à versão, à validação e à confiabilidade do instrumento.</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Padilhas et al. (2018)</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resumo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n.r. no resumo.</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Leitura restrita ao resumo. Grupo único sem controle, o que impede atribuir a estabilidade do humor à modulação de carga. Amostra pequena. Valores de p, testes, tamanho de efeito e escores das demais subescalas e da perturbação total ausentes no resumo. O valor de CK em E2 aparece com dois DP diferentes (131,7 e 185,6), possível erro de digitação ou de comparação. Carga de treino não quantificada no resumo.</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Lisenchuk et al. (2019)</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Os autores reconhecem que a comparação das médias não é argumento plausível para inferir relação e mostra apenas tendência, motivo pelo qual recorreram à análise de correlação.</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Delineamento entre sujeitos com grupos muito pequenos por fase (3 a 9), sem medida repetida na mesma atleta. Fase do ciclo sem método de verificação descrito (calendário, hormônios ou temperatura). Instrumento EMPA sem referência de validação (Biddle, 2003 é capítulo teórico) e sem confiabilidade. Variabilidade expressa como erro (m), não DP, o que impede calcular d sem conversão. Confusão terminológica entre Pearson, Spearman e coeficiente de contingência e valores de p contraditórios (p &gt; 0,7 junto de p ≤ 0,001). Nenhum teste formal entre fases; classificação abaixo da norma sem referência normativa citada.</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Mon-López et al. (2020)</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Contexto social e esportivo inédito; amostra de 187 jogadores com poder estatístico limitado e possível viés de autosseleção por sexo e nível; desequilíbrio amostral com maior presença de profissionais mulheres; anonimato impede confirmar a identidade dos atletas.</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Humor medido uma única vez, sem linha de base pré-isolamento, de modo que não se avalia mudança do humor. Condições de treino pré-isolamento recordadas retrospectivamente (viés de memória). Amostragem em bola de neve sem taxa de resposta. O texto afirma 'lower values for women' em depressão e fadiga, mas a Tabela 1 e o sinal negativo de t mostram valores maiores nas mulheres. Divergências entre texto e Tabela 4 (F das horas de treino 3,56 contra 3,05; modelo de qualidade do sono descrito como não significativo no passo 1, com p = 0,026 na tabela). Preditores individuais interpretados em modelos globais não significativos (vigor para PSE; amizade para horas de sono). Cinco regressões sem correção para múltiplos testes. R² baixos (0,05 a 0,17).</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Reigal et al. (2020)</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Escassez de estudos no handebol de praia; necessidade de replicar em outras categorias e níveis e de comparar com o handebol de quadra.</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Delineamento transversal, sem inferência causal apesar da linguagem preditiva. Confusão e amizade foram aplicadas, mas não relatadas (relato seletivo). Regressão por passos sucessivos com muitos testes e sem correção. Erro de digitação no t da raiva (-0,404 para β = -0,323). Numeração inconsistente das seções (3.4 e 3.5 dentro do item 2). Sem critérios de inclusão nem taxa de participação.</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Soto, García-Herrero e Carcedo (2020)</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Amostra pequena com possível falta de poder; efeito estudado apenas a curto prazo; ausência de competição real (baixa validade ecológica); possível papel do sexo, que exige estudo com homens; efeito do feedback do treinador e da percepção de sua competência não investigado.</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resumo afirma maior afeto positivo no grupo com feedback negativo, em contradição com os resultados (queda do afeto positivo nesse grupo). O método menciona manter a mesma proporção de homens e mulheres em cada grupo, embora a amostra seja só feminina. Comparação entre feedback negativo e positivo após a tarefa ausente da Tabela 3. Mediana da velocidade do grupo sem feedback nos arremessos 1 a 10 (88,00) fora do intervalo interquartil relatado (83,08 a 87,96). Afeto negativo do grupo com feedback negativo subiu de 1,80 para 2,40 sem significância, com n = 13 por grupo. Feedback dado por pesquisador externo, não pelo treinador.</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Batalla-Gavalda et al. (2021)</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Poucos estudos na pandemia usaram a mesma versão do POMS, o que exige cautela nas comparações; ausência de medida do humor antes da COVID-19 na mesma população; falta de variáveis como saúde mental e qualidade e quantidade de sono; número de sujeitos e desequilíbrio entre sexos.</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 modalidade é confundida com o sexo: o handebol é 100% feminino, ao passo que o atletismo é 50% feminino, de modo que a diferença handebol versus atletismo não se separa do efeito de sexo. O efeito do tempo dentro do handebol não foi testado e as médias do handebol não caíram ao longo do confinamento (PTH de 136,94 para 135,54), ao contrário da amostra total. Divergência entre texto e Tabela 2 para a PTH (p = 0,031 e W = 0,81 no texto; p = 0,001 e W = 0,78 na tabela). Na Tabela S2, a depressão do handebol na semana 6 não traz o marcador de diferença, embora o texto relate pBonferroni = 0,012. A Tabela S1 soma 14 homens e 31 mulheres, compatível com 45. Perda de 44% da amostra recrutada e confiabilidade não relatada.</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García-Herrero et al. (2022)</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Tarefa específica única; efeito estudado a curto prazo, fora de competição real (baixa validade ecológica); amostra só feminina, o que exige estudo com homens.</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Subgrupos muito pequenos na baixa satisfação (6 a 11), com baixo poder para interações de três fatores. Critério de divisão entre baixa e alta satisfação não descrito; escala de satisfação com confiabilidade baixa (α = 0,67). Descritivos sem medida de dispersão, o que impede calcular tamanhos de efeito para o PANAS. Na Tabela 2, os valores do tempo 3 dos grupos F+ e F- da baixa satisfação são idênticos, o que sugere erro de transcrição. O texto descreve a amotivação como média de 'intrinsic and identified amotivation scores', formulação incoerente. Três participantes sem dados completos sem descrição das perdas por grupo.</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Ghazel et al. (2022)</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resumo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n.r. no resumo.</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Leitura restrita ao resumo; nenhuma estatística de humor disponível. Amostra pequena (n = 14). Método de verificação das fases do ciclo e nível competitivo desconhecidos. Não se sabe se o humor foi analisado separadamente por condição de música.</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Sahli et al. (2022)</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Amostra pequena (estudo preliminar) e restrita a jovens; ausência de instrumentos de avaliação autêntica do jogo (por exemplo, GPAI); avaliação apenas do número de passes; ausência de medidas fisiológicas (lactato, frequência cardíaca, GPS); inexperiência dos participantes no handebol, o que limita a transferência para equipes da modalidade; ausência de questionários adicionais que expliquem o humor mais positivo na condição combinada.</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Participantes são escolares sem experiência competitiva, não atletas de handebol (elegibilidade limítrofe). As estatísticas F da PSE e da Feeling Scale são relatadas em bloco (F ≥, ηp² ≥), o que impede isolar o efeito sobre o afeto. Médias e DP do afeto só em figura. Post hoc LSD sem correção. Aleatorização da ordem e cegamento não descritos; condições diferem também no momento da fala do professor (durante as séries e na recuperação), o que confunde conteúdo e momento. Contradição interna: a discussão afirma PSE menor na condição combinada, mas a conclusão fala em "greater RPE score". A legenda da Figura 2 descreve diferença "from 1st to 2nd set" para medidas tomadas na recuperação e no pós-teste. Os autores chamam a amostra de "youth handball players" nas limitações, o que não condiz com a descrição do método. A Feeling Scale é medida de valência afetiva, não de perfil de humor multidimensional.</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Essid et al. (2022)</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resumo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n.r. no resumo.</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Apenas o resumo está acessível: não é possível verificar médias, testes, correção para comparações múltiplas, versão do POMS, idade dos atletas nem a comparação com a tarde. O resumo não esclarece se as diferenças do humor envolvem o horário das 14h. Sem tamanhos de efeito extraíveis.</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Lujic, Prskalo e Bratko (2023)</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Nenhuma seção de limitações. Na introdução os autores admitem que a causalidade pode ir nos dois sentidos (pessoas com maior bem-estar escolhem mais o esporte).</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Desenho transversal sem ajuste para sexo, nível socioeconômico, IMC ou outras variáveis; sexo não relatado; a conclusão causal ("has a positive effect") excede o desenho. O texto cita "Table 3", mas só existe a Tabela 1. A escala de satisfação com a vida é descrita com escore de 1 a 5, mas as médias relatadas (82,54; 75,02) correspondem a somas, o que é incoerente. O alfa de 0,93 não é atribuído explicitamente a um instrumento. O resumo informa coleta "in 2006 and 2007", mas o método indica coortes nascidas nesses anos. A meta declarada inclui traços de personalidade não medidos. Condições de aplicação diferentes entre grupos (clube antes ou depois do treino contra escola). Valores de p arredondados para ,00.</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Miralles-Amorós et al. (2023)</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Tamanho amostral pequeno, embora inclua todas as jogadoras profissionais de referência; duração da intervenção possivelmente curta para diferenças entre grupos; diversidade de respostas individuais em fatores psicológicos; ausência de psicoterapia para sintomas de transtorno alimentar.</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Contradição entre texto e Tabela 3: o resumo e as conclusões afirmam mudanças significativas no tempo para tensão, vigor e depressão, mas a tabela mostra efeito de tempo não significativo em todas as dimensões, e o próprio texto afirma ausência de diferença no vigor. A suposta melhora da depressão corresponde a aumento de PRE para PER seguido de queda, com valores POST semelhantes aos iniciais em FD e HAD. Conclusões apoiadas em post hoc sem correção. n = 7 por grupo e ANCOVA com covariável, poder muito baixo. POMS de 30 itens sem confusão e sem validação espanhola citada; referência do instrumento aparentemente incorreta. BSQ descrito com amplitude de 14 a 84, mas médias de até 82,4 ± 46,5, incoerentes com essa amplitude. Ausência de tamanho de efeito para comparações post hoc. Momento de aplicação em relação a treino e jogo não relatado. Diagrama CONSORT citado sem números no texto.</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Ivanović e Ivanović (2023)</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Conclusões sobre juniores sérvios seriam mais realistas com amostra maior; os achados são informativos e servem de ponto de partida.</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Muitas inconsistências: DP da idade diferente entre resumo (0,90) e método (2,20); título da Tabela 1 cita escalas não usadas (PARQ, FACES II, FQQ, IPA-R, RSES); a saúde subjetiva não aparece nos descritivos; a Tabela 2 tem valores ausentes e o texto cita 21 correlações (6 variáveis geram 15) com amplitude de 0,14 a 0,74 que não corresponde à tabela; notas de significância invertidas (* p ≤ 0,01;  p ≤ 0,05); o sinal do β da solidão para o afeto positivo muda de 0,29 (Tabela 3) para -0,32 (Tabela 4) e o do afeto negativo de 0,27 para -0,28; o resumo afirma 51% de variância explicada, mas 0,51 é o R múltiplo (R² corrigido de 0,15); a correlação positiva de 0,50 entre afeto positivo e negativo é atípica; a discussão afirma que jogadores com saúde subjetiva ruim teriam maior satisfação com a vida, em contradição com o sinal dos coeficientes. Sexo não declarado. Delineamento transversal e autorrelato.</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Morenas-Aguilar et al. (2023)</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Amostra pequena (8 mulheres), compensada em parte pelo teste em dois ciclos e pelo programa de treino homogêneo; exclusão de 33,3% das recrutadas por distúrbios menstruais.</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Humor medido por item único de valência, sem descritivos no texto acessível; ausência de dosagem sérica de estrogênio e progesterona para confirmar as fases; poder estatístico calculado apenas para os desfechos físicos; o teste de Friedman com n = 8 tem baixo poder para o humor. A discussão chama o humor de traço fisiológico e psicológico em pontos distintos. País da coleta não declarado.</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Sahli et al. (2024)</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Generalização restrita a jogadores com sobrepeso; amostra pequena; uso de medidas de autorrelato e dados observacionais sujeitos a viés; foco de curto prazo, sem avaliar efeitos duradouros.</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Aprovação ética datada de 5 de março de 2023, posterior à coleta (janeiro e fevereiro de 2022). As condições diferem também no momento do encorajamento (antes e nos intervalos no VEI; durante o jogo no VEC), o que confunde o fator individual contra coletivo. Tamanho de cada grupo e procedimento de aleatorização não descritos. Graus de liberdade F(1,26) incompatíveis com análises separadas por sexo (n = 14 por sexo). Teste t pareado aplicado a grupos independentes. Divergência sobre o momento do BRUMS e ausência de indicação da sessão na Tabela 2. O texto afirma que a raiva dos meninos caiu de forma semelhante nos dois grupos, mas a Tabela 3 mostra interação significativa (p = 0,006). DP pré da depressão das meninas no VEC (7,38 ± 6,33) provavelmente com erro de digitação. Massa e estatura relatadas resultam em IMC de cerca de 29,9 (meninos) e 32,7 (meninas), incompatíveis com os IMC informados (27,3 e 26,8). Vigor inicial dos meninos maior no VEI (8,35 contra 6,85). Participantes são escolares com sobrepeso, não atletas federados.</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Akroush et al. (2025)</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Uso de questionário de autorrelato, sujeito a imprecisão e viés de memória, com capacidade limitada para medir dimensões psicológicas.</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instrumento mede propriedades do sistema nervoso (excitação, inibição, mobilidade), construto próximo do temperamento, não estados de humor transitórios como POMS ou BRUMS; elegibilidade limítrofe. Validação mínima (correlação dimensão-total e alfa de 0,750), redução de 30 para 20 itens sem descrição. Idade, momento da coleta e aprovação ética não relatados. O resumo e o texto atribuem M = 2,2257 à excitação, mas a Tabela 4 traz 2,0695 (2,2257 é o total). A classificação "alta" não tem ponto de corte declarado. ANOVA só sobre o total, sem análise por dimensão e sem tamanho de efeito. O texto chama a Tabela 4 de Tabela 3 e a Tabela 6 de Tabela 5. Paginação do cabeçalho ("9285-294") com erro de digitação.</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Batalla-Gavalda et al. (2025)</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Não há seção de limitações; os autores indicam como pesquisa futura a validação em amostras maiores e mais heterogêneas e o controle de nutrição, sono e monitoramento avançado.</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O POMS foi aplicado antes de cada teste e jogo (Tabela 1), portanto as diferenças refletem o estado de humor prévio, não a resposta induzida pelos testes, o que contradiz a interpretação causal dos autores ("induced a more negative mood profile"). Cada teste foi medido uma vez, contra 10 jogos, o que mistura variabilidade intra e interindividual. Os d relatados são cerca da metade de um d com DP combinado simples (por exemplo, fadiga: diferença de 3,29 com DP combinado próximo de 5,3), o que sugere padronização pela variância total do modelo, não explicitada. Contradições de método: o texto afirma que a primeira sessão foi sempre o YYIRT-1 e a segunda o GBPT, mas também que a ordem foi contrabalançada; a numeração das fases muda ao longo do texto (avaliação médica como fase 1 e testes como fase 2). O texto remete a Tabela 1 e Tabela 2 para dados que estão nas Tabelas 2 e 3. Mesma amostra e mesmos valores de jogo de H32, o que exige tratar os dois artigos como um único conjunto amostral. Confiabilidade do POMS na amostra não relatada.</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Aydi et al. (2025)</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Amostra pequena por dificuldade de recrutar crianças obesas com o mesmo professor; apenas meninos com menos de 14 anos; variações das condições de jogo não exploradas; confiança e motivação não medidas.</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Não são atletas de handebol nem handebol formal (jogo de passes com regras do handebol em aula). Os ES do vigor (-1,51) e da PTH (0,78) são numericamente idênticos aos de %FCmáx e FC média, o que sugere erro de transcrição; o resumo traz -1,11 para o vigor. ES de bolas perdidas e gols diferem entre resumo e resultados. Local descrito como ginásio coberto e como campo externo. O método descreve dois obesos por jogo como coringas e os demais com peso normal, o que não esclarece como os 16 obesos participaram. DP da gordura corporal (0,53%) implausivelmente pequeno. No arquivo S1, a coluna da PTH pós com encorajamento está rotulada DOMS-E. Sem cegamento do professor, que também coletou os dados.</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Diachenko e Tyshchenko (2025)</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resumo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n.r. no resumo.</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Apenas o resumo foi lido; o idioma do texto completo não foi conferido (metadados OAI-PMH e OpenAlex indicam inglês), o que mantém a elegibilidade pendente. O valor de 38% é um máximo sem indicação de dimensão; sem estatísticas, sem idade e sem descrição da alocação.</w:t>
            </w:r>
          </w:p>
        </w:tc>
      </w:tr>
      <w:tr>
        <w:tc>
          <w:tcPr>
            <w:tcW w:w="1701"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Batalla-Gavalda et al. (2026)</w:t>
            </w:r>
          </w:p>
        </w:tc>
        <w:tc>
          <w:tcPr>
            <w:tcW w:w="1020"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Amostra pequena, com cautela na generalização a outros esportes; testes aplicados uma única vez antes do período competitivo; Wingate e cicloergômetro na mesma sessão com apenas 30 min de recuperação, com possível fadiga residual.</w:t>
            </w:r>
          </w:p>
        </w:tc>
        <w:tc>
          <w:tcPr>
            <w:tcW w:w="7087" w:type="dxa"/>
            <w:tcBorders>
              <w:top w:val="single" w:sz="4" w:color="000000"/>
              <w:left w:val="single" w:sz="4" w:color="000000"/>
              <w:bottom w:val="single" w:sz="4" w:color="000000"/>
              <w:right w:val="single" w:sz="4" w:color="000000"/>
            </w:tcBorders>
          </w:tcPr>
          <w:p>
            <w:pPr>
              <w:spacing w:lineRule="exact" w:line="170" w:before="20" w:after="20"/>
              <w:jc w:val="left"/>
            </w:pPr>
            <w:r>
              <w:rPr>
                <w:rFonts w:ascii="Times New Roman" w:hAnsi="Times New Roman"/>
                <w:i w:val="0"/>
                <w:sz w:val="14"/>
              </w:rPr>
              <w:t>Momento do POMS não declarado; se aplicado antes dos testes, como no artigo irmão H31, as diferenças não podem ser atribuídas aos testes. Uma única medida de POMS para Wingate e cicloergômetro, tratada como duas condições na análise, o que duplica dados. Mesma amostra e mesmos valores de jogo de H31 (não somar amostras). Os d relatados são menores que um d com DP combinado simples, sem explicitar o padronizador. O resumo afirma que nenhum teste reproduziu a FC de pico do jogo, mas os resultados mostram FC máxima semelhante na esteira. Confiabilidade do POMS na amostra não relatada.</w:t>
            </w:r>
          </w:p>
        </w:tc>
      </w:tr>
      <w:tr>
        <w:tc>
          <w:tcPr>
            <w:tcW w:w="1701"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Ratz-Sulyok et al. (2026)</w:t>
            </w:r>
          </w:p>
        </w:tc>
        <w:tc>
          <w:tcPr>
            <w:tcW w:w="1020"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texto completo</w:t>
            </w:r>
          </w:p>
        </w:tc>
        <w:tc>
          <w:tcPr>
            <w:tcW w:w="4195"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Desenho transversal sem inferência causal; falta de controle rigoroso do horário de despertar e de fatores prévios à coleta (atividade física, cafeína, hidratação, alimentação); ausência de medidas de carga de treino, sono e recuperação; fase do ciclo menstrual por autorrelato; efeitos pequenos e de relevância prática limitada; questionários de autorrelato sujeitos a viés; categorização das variáveis psicológicas com perda de poder.</w:t>
            </w:r>
          </w:p>
        </w:tc>
        <w:tc>
          <w:tcPr>
            <w:tcW w:w="7087" w:type="dxa"/>
            <w:tcBorders>
              <w:top w:val="single" w:sz="4" w:color="000000"/>
              <w:left w:val="single" w:sz="4" w:color="000000"/>
              <w:bottom w:val="single" w:sz="8" w:color="000000"/>
              <w:right w:val="single" w:sz="4" w:color="000000"/>
            </w:tcBorders>
          </w:tcPr>
          <w:p>
            <w:pPr>
              <w:spacing w:lineRule="exact" w:line="170" w:before="20" w:after="20"/>
              <w:jc w:val="left"/>
            </w:pPr>
            <w:r>
              <w:rPr>
                <w:rFonts w:ascii="Times New Roman" w:hAnsi="Times New Roman"/>
                <w:i w:val="0"/>
                <w:sz w:val="14"/>
              </w:rPr>
              <w:t>POMS disponível para menos da metade da amostra (276 de 584), sem explicação; apenas 6 homens no U19. Diversos η² parciais são incoerentes com os F e p relatados (por exemplo, F = 1,266 com η² parcial = 0,124; F = 0,066 com η² parcial = 0,101 para PSS), o que sugere erro de cálculo ou de digitação. Na Tabela 6, as frequências dos homens adultos somam 86,7%. Pontos de corte da PTH se sobrepõem (-2 e 29,5 aparecem em duas categorias) e derivam da própria amostra. O texto descreve tendência decrescente da PTH com a idade, mas nas mulheres a mediana sobe de U15 (15,5) a U19 (25,5) antes de cair nas adultas (-2,5). Classificação de η² = 0,022 como efeito médio, contrária aos limiares declarados. O POMS de autorrelato foi aplicado por entrevista, o que pode alterar respostas. A data da entrevista em relação à saliva e ao calendário competitivo não é informada. Não há resultado por dimensão do POMS, apenas PTH. Uso de ferramenta de IA declarado para busca de literatura.</w:t>
            </w:r>
          </w:p>
        </w:tc>
      </w:tr>
    </w:tbl>
    <w:p>
      <w:pPr>
        <w:spacing w:before="40" w:after="0" w:line="240" w:lineRule="auto"/>
        <w:ind w:left="0" w:firstLine="0"/>
        <w:jc w:val="both"/>
      </w:pPr>
      <w:r>
        <w:rPr>
          <w:rFonts w:ascii="Times New Roman" w:hAnsi="Times New Roman"/>
          <w:i w:val="0"/>
          <w:sz w:val="20"/>
        </w:rPr>
        <w:t>Nota: n.r.: os autores não declararam limitações. A fonte lida indica se a leitura se apoiou no texto completo ou apenas no resumo.</w:t>
      </w:r>
    </w:p>
    <w:p>
      <w:pPr>
        <w:spacing w:before="0" w:after="160" w:line="240" w:lineRule="auto"/>
        <w:ind w:left="0" w:firstLine="0"/>
        <w:jc w:val="left"/>
      </w:pPr>
      <w:r>
        <w:rPr>
          <w:rFonts w:ascii="Times New Roman" w:hAnsi="Times New Roman"/>
          <w:i w:val="0"/>
          <w:sz w:val="20"/>
        </w:rPr>
        <w:t>Fonte: elaborada pelos autores (2026).</w:t>
      </w:r>
    </w:p>
    <w:sectPr w:rsidR="00FC693F" w:rsidRPr="0006063C" w:rsidSect="00034616">
      <w:pgSz w:w="16838" w:h="11906" w:orient="landscape"/>
      <w:pgMar w:top="1701" w:right="1134" w:bottom="1134" w:left="1701" w:header="113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sz w:val="20"/>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