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DINÂMICA DO HUMOR NUM MICROCICLO PRÉ-COMPETITIVO DE HANDEBOL DE ELITE: EIXO ENERGIA–FADIGA, MIGRAÇÃO DE PERFIS E MODELAGEM DE TRAJETÓRIAS</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caracterizar e modelar a dinâmica do humor de atletas de handebol de elite ao longo de um microciclo pré-competitivo, com a comparação de cada dimensão do BRUMS entre todos os dias, a identificação dos dias de maior e menor expressão de cada estado, a classificação dos perfis de humor e a modelagem das trajetórias.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com um total de 286 observações. Empregaram-se estatística descritiva, Shapiro-Wilk, Wilcoxon com tamanho de efeito, Friedman com W de Kendall, pós-teste (Tukey), ICC, MANOVA em escores T, correlação de Spearman, classificação de perfis com regressão logística da migração, modelagem polinomial das trajetórias (derivadas e cruzamento) e decomposição sinal–ruído; a robustez foi testada por reexecução após filtragem de observações atípicas. </w:t>
      </w:r>
      <w:r>
        <w:rPr>
          <w:b/>
          <w:sz w:val="24"/>
        </w:rPr>
        <w:t xml:space="preserve">Resultados: </w:t>
      </w:r>
      <w:r>
        <w:rPr>
          <w:b w:val="0"/>
          <w:sz w:val="24"/>
        </w:rPr>
        <w:t xml:space="preserve">a deterioração concentrou-se no eixo energia–fadiga — o vigor caiu (d = -1,33) e a fadiga subiu (d = +0,78), com confirmação por MANOVA (Wilks λ = 0,181; p &lt; 0,001). O vigor foi máximo no Dia 1 e a fadiga no Dia 7. Os seis perfis de humor descritos por Terry e Parsons-Smith estiveram representados, e a prevalência deslocou-se do iceberg (48% no baseline) para a barbatana de tubarão (22% no Dia 7); a regressão logística de tendência confirmou o aumento da chance do perfil de barbatana de tubarão (OR = 1,37 por dia), sem instalação dos perfis de maior risco à saúde mental. A modelagem das trajetórias localizou o cruzamento entre vigor e fadiga na metade da semana, e a decomposição sinal–ruído revelou que o vigor e a fadiga são quase inteiramente sinal, ao passo que as dimensões negativas são dominadas por ruído. Todos os achados centrais permaneceram estáveis após a auditoria de robustez. </w:t>
      </w:r>
      <w:r>
        <w:rPr>
          <w:b/>
          <w:sz w:val="24"/>
        </w:rPr>
        <w:t xml:space="preserve">Conclusão: </w:t>
      </w:r>
      <w:r>
        <w:rPr>
          <w:b w:val="0"/>
          <w:sz w:val="24"/>
        </w:rPr>
        <w:t>o humor migrou da prontidão (perfil iceberg) para a fadiga funcional (perfil barbatana de tubarão), em um padrão compatível com sobre-esforço funcional; o vigor e a fadiga foram as dimensões mais sensíveis e sistemáticas — seletividade do eixo energia–fadiga que reproduz, num microciclo de handebol, o comportamento já documentado em outras modalidades sob carga —, o que recomenda centrar nele o monitoramento do humor, integrado a um acompanhamento multidomínio do estado do atleta.</w:t>
      </w:r>
    </w:p>
    <w:p>
      <w:pPr>
        <w:spacing w:line="360" w:lineRule="auto" w:after="160"/>
        <w:jc w:val="both"/>
      </w:pPr>
      <w:r>
        <w:rPr>
          <w:b w:val="0"/>
          <w:sz w:val="22"/>
        </w:rPr>
        <w:t>Palavras-chave: humor; BRUMS; handebol; monitoramento do atleta; fadiga; perfis de humor.</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interesse por essa via de monitoramento sustenta-se em uma observação recorrente: o humor capta a dimensão subjetiva da fadiga que os marcadores biológicos nem sempre revelam. Em programas de treino intensificado, a perturbação do humor pode persistir mesmo depois de indicadores fisiológicos terem regredido, dissociação que reforça o valor de um monitoramento integrado do estado do atleta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Esse padrão de esforço eleva a carga interna nos microciclos de acúmulo e repercute no estado afetivo, sobretudo na última semana de pré-temporada, quando a carga que antecede a competição se concentra — contexto no qual o monitoramento do humor se torna particularmente informativo para distinguir a fadiga esperada de uma deterioração que exija intervenção.</w:t>
      </w:r>
    </w:p>
    <w:p>
      <w:pPr>
        <w:spacing w:before="120" w:after="80" w:line="360" w:lineRule="auto"/>
      </w:pPr>
      <w:r>
        <w:rPr>
          <w:b/>
          <w:sz w:val="24"/>
        </w:rPr>
        <w:t>1.4 Objetivos e hipóteses</w:t>
      </w:r>
    </w:p>
    <w:p>
      <w:pPr>
        <w:spacing w:line="360" w:lineRule="auto" w:after="120"/>
        <w:ind w:firstLine="709"/>
        <w:jc w:val="both"/>
      </w:pPr>
      <w:r>
        <w:rPr>
          <w:b w:val="0"/>
          <w:sz w:val="24"/>
        </w:rPr>
        <w:t>Apesar da ampla adoção da BRUMS, escasseiam descrições detalhadas do comportamento do humor ao longo de um microciclo pré-competitivo de handebol de elite — precisamente a fase de acumulação em que se instala o sobre-esforço funcional e na qual a triagem do estado psicofisiológico se torna mais decisiva. A lacuna é dupla: empírica, pela ausência de registros em alta resolução dentro de um único microciclo de uma modalidade coletiva de invasão; e metodológica, pela predominância de uma tradição descritiva — perfis e médias em instantâneos — que raramente modela a trajetória do humor no tempo. Diante dessa dupla lacuna, e ao unir a coleta duas vezes ao dia à modelagem contínua das trajetórias, o objetivo geral consistiu em caracterizar e modelar a dinâmica do humor desses atletas na última semana de pré-temporada, com atenção ao comportamento de cada dimensão do BRUMS, à comparação entre todos os dias, à identificação dos dias de maior e menor expressão de cada estado e à evolução dos perfis de humor. De modo específico, o estudo propôs-se a: (i) caracterizar a amostra; (ii) verificar a normalidade; (iii) descrever a resposta aguda pré → pós com tamanho de efeito; (iv) comparar as dimensões entre todos os dias; (v) confirmar as diferenças por análise multivariada (escores T); (vi) descrever o comportamento individual de cada variável e suas relações; (vii) identificar os dias de maior fadiga, vigor, tensão, raiva e depressão; (viii) classificar a evolução dos perfis de humor; e (ix) modelar a dinâmica temporal das trajetórias — taxa de variação, aceleração e cruzamento energia–fadiga —, com separação entre o sinal sistemático e o ruído amostral. Hipotetizou-se que a deterioração se concentraria no eixo energia–fadiga, com migração do perfil iceberg (prontidão) para o de barbatana de tubarão (fadiga funcional) e um cruzamento entre as trajetórias de vigor e fadiga ao longo da semana.</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(Escala de Humor de Brunel), com 24 itens em escala de 0 (“nada”) a 4 (“extremamente”), agrupados em seis subescalas de 0 a 16 pontos (tensão, depressão, raiva, vigor, fadiga e confusão); a Perturbação Total do Humor (PTH) resume o perfil (soma das dimensões negativas menos o vigor). Para a classificação dos perfis e a análise multivariada, os escores foram convertidos em escores T (M = 50; DP = 10). O instrumento foi autoaplicado por formulário eletrônico, uma vez na linha de base e duas vezes ao dia — pré e pós-treino — nos dias de treino, o que permite separar a resposta afetiva aguda a cada sessão do acúmulo ao longo da semana.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 DP × √(1 − ICC)) e a mudança mínima detectável (MDC = 1,96 × √2 × SEM, a 90% e a 95% de confiança), que expressa a menor variação individual distinguível do erro de medida; como referência de relevância prática, computou-se ainda a menor mudança relevante (SWC = 0,2 × desvio-padrão entre atletas).</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Os perfis de humor foram classificados a partir dos escores T das seis dimensões, e a migração de perfil ao longo da semana foi testada como tendência por regressão logística da probabilidade de cada perfil (iceberg e barbatana de tubarão) em função do dia do microciclo, com os intervalos de confiança das razões de chances obtidos por reamostragem (bootstrap, 1000 repetições) de atletas, para acomodar a estrutura de medidas repetidas. A dinâmica temporal foi modelada por meio do ajuste de uma função polinomial às médias diárias de cada dimensão, da qual se obtiveram, por derivação, a taxa de variação instantânea (derivada primeira), os pontos críticos (máximos e mínimos), o ponto de inflexão (raiz da derivada segunda) e o cruzamento entre as trajetórias de vigor e fadiga. A mesma componente suave decompôs cada trajetória em sinal e ruído, com a quantificação da razão sinal-ruído (SNR) e uma visualização suavizada das curvas. A resposta foi ainda modelada por atleta (trajetórias individuais) e reconstruída em alta resolução com 13 pontos temporais (linha de base e momentos pré e pós de cada dia de treino). Por fim, para verificar a dependência dos achados em relação a observações atípicas, todas as análises centrais foram reexecutadas após a remoção de valores multivariadamente atípicos (distância de Mahalanobis).</w:t>
      </w:r>
    </w:p>
    <w:p>
      <w:pPr>
        <w:spacing w:line="360" w:lineRule="auto" w:after="120"/>
        <w:ind w:firstLine="709"/>
        <w:jc w:val="both"/>
      </w:pPr>
      <w:r>
        <w:rPr>
          <w:b w:val="0"/>
          <w:sz w:val="24"/>
        </w:rPr>
        <w:t>Para aprofundar a inferência sobre a dinâmica temporal, acrescentaram-se três abordagens complementares. Primeiro, ajustou-se um modelo bayesiano multinível de curva de crescimento ao vigor e à fadiga, com o dia do microciclo (componente crônica) e o momento pré/pós (componente aguda) como efeitos fixos e interceptos e inclinações aleatórios por atleta; a estimação por amostrador de Gibbs com prioris conjugadas fracamente informativas (20 000 iterações, descarte inicial de 6 000, semente 2024) forneceu intervalos de credibilidade de 95%, a partição da variância entre atletas (correlação intraclasse) e a dispersão das inclinações individuais, com as médias a posteriori confrontadas com um modelo misto de máxima verossimilhança restrita para validação (McELREATH, 2020). Segundo, estimou-se uma rede psicométrica (modelo gráfico gaussiano) das seis dimensões por correlações parciais, no dia descansado e no dia de maior carga, com a força global (soma das arestas absolutas) comparada por teste de permutação de 5 000 reamostragens (EPSKAMP; FRIED, 2018). Terceiro, como verificação de robustez que respeita a natureza ordinal e limitada das subescalas, ajustou-se um modelo de odds proporcionais (cumulative link) do dia e do momento pré/pós sobre o vigor e a fadiga categorizados em tercis (LIDDELL; KRUSCHKE, 2018).</w:t>
      </w:r>
    </w:p>
    <w:p>
      <w:pPr>
        <w:spacing w:line="360" w:lineRule="auto" w:after="120"/>
        <w:ind w:firstLine="709"/>
        <w:jc w:val="both"/>
      </w:pPr>
      <w:r>
        <w:rPr>
          <w:b w:val="0"/>
          <w:sz w:val="24"/>
        </w:rPr>
        <w:t>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1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2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1) e com caracterização sociodemográfica e antropométrica compatível com a de handebolistas de nível competitivo (Tabela 2).</w:t>
      </w:r>
    </w:p>
    <w:p>
      <w:pPr>
        <w:spacing w:before="120" w:after="80" w:line="360" w:lineRule="auto"/>
      </w:pPr>
      <w:r>
        <w:rPr>
          <w:b/>
          <w:sz w:val="24"/>
        </w:rPr>
        <w:t>3.2 Normalidade das distribuições</w:t>
      </w:r>
    </w:p>
    <w:p>
      <w:pPr>
        <w:spacing w:before="160" w:after="40"/>
      </w:pPr>
      <w:r>
        <w:rPr>
          <w:sz w:val="22"/>
        </w:rPr>
        <w:t>Tabela 3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3), o que justifica os testes não paramétricos.</w:t>
      </w:r>
    </w:p>
    <w:p>
      <w:pPr>
        <w:spacing w:before="120" w:after="80" w:line="360" w:lineRule="auto"/>
      </w:pPr>
      <w:r>
        <w:rPr>
          <w:b/>
          <w:sz w:val="24"/>
        </w:rPr>
        <w:t>3.3 Estatística descritiva das dimensões</w:t>
      </w:r>
    </w:p>
    <w:p>
      <w:pPr>
        <w:spacing w:before="160" w:after="40"/>
      </w:pPr>
      <w:r>
        <w:rPr>
          <w:sz w:val="22"/>
        </w:rPr>
        <w:t>Tabela 4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4: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5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5):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6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6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7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7) foi moderada a boa, com os valores mais baixos na raiva e na confusão — dimensões mais reativas dia a dia.</w:t>
      </w:r>
    </w:p>
    <w:p>
      <w:pPr>
        <w:spacing w:before="160" w:after="40"/>
      </w:pPr>
      <w:r>
        <w:rPr>
          <w:sz w:val="22"/>
        </w:rPr>
        <w:t>Tabela 8 – Erro de medida e limiares de mudança do vigor e da fadiga (escala 0–16): erro-padrão de medida (SEM), mudança mínima detectável (MDC) e menor mudança relevante (SWC).</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MDC95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SWC</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w:t>
            </w:r>
          </w:p>
        </w:tc>
      </w:tr>
    </w:tbl>
    <w:p>
      <w:pPr>
        <w:spacing w:after="0"/>
      </w:pPr>
      <w:r>
        <w:rPr>
          <w:i/>
          <w:sz w:val="17"/>
        </w:rPr>
        <w:t>SEM = DP × √(1 − ICC); MDC = 1,65 (90%) ou 1,96 (95%) × √2 × SEM; SWC = 0,2 × DP entre atletas. Uma mudança individual só é interpretada como real quando excede a MDC.</w:t>
      </w:r>
    </w:p>
    <w:p>
      <w:pPr>
        <w:spacing w:after="120"/>
      </w:pPr>
      <w:r>
        <w:rPr>
          <w:sz w:val="18"/>
        </w:rPr>
        <w:t>Fonte: dados da pesquisa (2026).</w:t>
      </w:r>
    </w:p>
    <w:p>
      <w:pPr>
        <w:spacing w:line="360" w:lineRule="auto" w:after="120"/>
        <w:ind w:firstLine="709"/>
        <w:jc w:val="both"/>
      </w:pPr>
      <w:r>
        <w:rPr>
          <w:b w:val="0"/>
          <w:sz w:val="24"/>
        </w:rPr>
        <w:t>Para orientar a leitura individual, derivaram-se do ICC os limiares de mudança (Tabela 8). No vigor, o erro-padrão de medida foi de 2,3 ponto e a mudança mínima detectável, de 5,3 (90%) a 6,3 (95%) pontos; na fadiga, 2,5 e 5,9 a 7,0 pontos, respectivamente. Esses valores contrastam com a menor mudança relevante (SWC = 0,5 no vigor; 0,6 na fadiga): a menor variação que teria significado prático é bem inferior ao erro de medida de uma leitura isolada. A implicação é metodológica e direta — no plano individual, apenas oscilações de cerca de 5,3 a 5,9 pontos podem ser tomadas como mudança real, ao passo que variações menores, embora possivelmente relevantes, confundem-se com o ruído de medida; por isso a inferência deste estudo apoia-se nas tendências de grupo e nos limiares, e não em leituras isoladas por atleta.</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Dias de maior expressão de cada estado de humor</w:t>
      </w:r>
    </w:p>
    <w:p>
      <w:pPr>
        <w:spacing w:before="160" w:after="40"/>
      </w:pPr>
      <w:r>
        <w:rPr>
          <w:sz w:val="22"/>
        </w:rPr>
        <w:t>Tabela 11 – Dia de maior e de menor expressão de cada dimensão do humor (médias diárias).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maior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de menor valor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Valor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Dia 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0,59</w:t>
            </w:r>
          </w:p>
        </w:tc>
      </w:tr>
    </w:tbl>
    <w:p>
      <w:pPr>
        <w:spacing w:after="120"/>
      </w:pPr>
      <w:r>
        <w:rPr>
          <w:sz w:val="18"/>
        </w:rPr>
        <w:t>Fonte: dados da pesquisa (2026).</w:t>
      </w:r>
    </w:p>
    <w:p>
      <w:pPr>
        <w:spacing w:line="360" w:lineRule="auto" w:after="120"/>
        <w:ind w:firstLine="709"/>
        <w:jc w:val="both"/>
      </w:pPr>
      <w:r>
        <w:rPr>
          <w:b w:val="0"/>
          <w:sz w:val="24"/>
        </w:rPr>
        <w:t>A Tabela 11 sintetiza os dias de pico: o vigor foi máximo no Dia 1 e mínimo no Dia 7; a fadiga foi máxima no Dia 7; a tensão, máxima no Dia 1; a raiva, máxima no Dia 7; e a depressão, máxima no Dia 7. Em síntese, o início da semana reúne maior prontidão (vigor, tensão e confusão mais altos) e o final concentra a fadiga e a raiva.</w:t>
      </w:r>
    </w:p>
    <w:p>
      <w:pPr>
        <w:spacing w:before="120" w:after="80" w:line="360" w:lineRule="auto"/>
      </w:pPr>
      <w:r>
        <w:rPr>
          <w:b/>
          <w:sz w:val="24"/>
        </w:rPr>
        <w:t>3.8 Comportamento individual de cada variável e suas relações</w:t>
      </w:r>
    </w:p>
    <w:p>
      <w:pPr>
        <w:spacing w:line="360" w:lineRule="auto" w:after="120"/>
        <w:ind w:firstLine="709"/>
        <w:jc w:val="both"/>
      </w:pPr>
      <w:r>
        <w:rPr>
          <w:b w:val="0"/>
          <w:sz w:val="24"/>
        </w:rPr>
        <w:t>As Figuras 5 a 10 apresentam, para cada dimensão, o comportamento ao longo da semana com a média diária, a banda de confiança de 95% (área sombreada), os diagramas de caixa por dia e o efeito do microciclo, o que permite visualizar individualmente como cada estado de humor evolui. Nessas figuras, o efeito Dia 1 → Dia 7 é expresso pelo dz (mudança padronizada intraindividual), numericamente idêntico ao d relatado na análise multivariada (Tabela 9), e o valor de p é o do teste de Friedman apresentado na Tabela 6.</w:t>
      </w:r>
    </w:p>
    <w:p>
      <w:pPr>
        <w:spacing w:before="120"/>
        <w:jc w:val="center"/>
      </w:pPr>
      <w:r>
        <w:drawing>
          <wp:inline xmlns:a="http://schemas.openxmlformats.org/drawingml/2006/main" xmlns:pic="http://schemas.openxmlformats.org/drawingml/2006/picture">
            <wp:extent cx="4500000" cy="2340000"/>
            <wp:docPr id="5" name="Picture 5"/>
            <wp:cNvGraphicFramePr>
              <a:graphicFrameLocks noChangeAspect="1"/>
            </wp:cNvGraphicFramePr>
            <a:graphic>
              <a:graphicData uri="http://schemas.openxmlformats.org/drawingml/2006/picture">
                <pic:pic>
                  <pic:nvPicPr>
                    <pic:cNvPr id="0" name="xb4_v_Tensao.png"/>
                    <pic:cNvPicPr/>
                  </pic:nvPicPr>
                  <pic:blipFill>
                    <a:blip r:embed="rId13"/>
                    <a:stretch>
                      <a:fillRect/>
                    </a:stretch>
                  </pic:blipFill>
                  <pic:spPr>
                    <a:xfrm>
                      <a:off x="0" y="0"/>
                      <a:ext cx="4500000" cy="2340000"/>
                    </a:xfrm>
                    <a:prstGeom prst="rect"/>
                  </pic:spPr>
                </pic:pic>
              </a:graphicData>
            </a:graphic>
          </wp:inline>
        </w:drawing>
      </w:r>
    </w:p>
    <w:p>
      <w:pPr>
        <w:jc w:val="center"/>
      </w:pPr>
      <w:r>
        <w:rPr>
          <w:sz w:val="22"/>
        </w:rPr>
        <w:t>Figura 5 – Tensão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6" name="Picture 6"/>
            <wp:cNvGraphicFramePr>
              <a:graphicFrameLocks noChangeAspect="1"/>
            </wp:cNvGraphicFramePr>
            <a:graphic>
              <a:graphicData uri="http://schemas.openxmlformats.org/drawingml/2006/picture">
                <pic:pic>
                  <pic:nvPicPr>
                    <pic:cNvPr id="0" name="xb4_v_Depressao.png"/>
                    <pic:cNvPicPr/>
                  </pic:nvPicPr>
                  <pic:blipFill>
                    <a:blip r:embed="rId14"/>
                    <a:stretch>
                      <a:fillRect/>
                    </a:stretch>
                  </pic:blipFill>
                  <pic:spPr>
                    <a:xfrm>
                      <a:off x="0" y="0"/>
                      <a:ext cx="4500000" cy="2340000"/>
                    </a:xfrm>
                    <a:prstGeom prst="rect"/>
                  </pic:spPr>
                </pic:pic>
              </a:graphicData>
            </a:graphic>
          </wp:inline>
        </w:drawing>
      </w:r>
    </w:p>
    <w:p>
      <w:pPr>
        <w:jc w:val="center"/>
      </w:pPr>
      <w:r>
        <w:rPr>
          <w:sz w:val="22"/>
        </w:rPr>
        <w:t>Figura 6 – Depressão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7" name="Picture 7"/>
            <wp:cNvGraphicFramePr>
              <a:graphicFrameLocks noChangeAspect="1"/>
            </wp:cNvGraphicFramePr>
            <a:graphic>
              <a:graphicData uri="http://schemas.openxmlformats.org/drawingml/2006/picture">
                <pic:pic>
                  <pic:nvPicPr>
                    <pic:cNvPr id="0" name="xb4_v_Raiva.png"/>
                    <pic:cNvPicPr/>
                  </pic:nvPicPr>
                  <pic:blipFill>
                    <a:blip r:embed="rId15"/>
                    <a:stretch>
                      <a:fillRect/>
                    </a:stretch>
                  </pic:blipFill>
                  <pic:spPr>
                    <a:xfrm>
                      <a:off x="0" y="0"/>
                      <a:ext cx="4500000" cy="2340000"/>
                    </a:xfrm>
                    <a:prstGeom prst="rect"/>
                  </pic:spPr>
                </pic:pic>
              </a:graphicData>
            </a:graphic>
          </wp:inline>
        </w:drawing>
      </w:r>
    </w:p>
    <w:p>
      <w:pPr>
        <w:jc w:val="center"/>
      </w:pPr>
      <w:r>
        <w:rPr>
          <w:sz w:val="22"/>
        </w:rPr>
        <w:t>Figura 7 – Raiva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8" name="Picture 8"/>
            <wp:cNvGraphicFramePr>
              <a:graphicFrameLocks noChangeAspect="1"/>
            </wp:cNvGraphicFramePr>
            <a:graphic>
              <a:graphicData uri="http://schemas.openxmlformats.org/drawingml/2006/picture">
                <pic:pic>
                  <pic:nvPicPr>
                    <pic:cNvPr id="0" name="xb4_v_Vigor.png"/>
                    <pic:cNvPicPr/>
                  </pic:nvPicPr>
                  <pic:blipFill>
                    <a:blip r:embed="rId16"/>
                    <a:stretch>
                      <a:fillRect/>
                    </a:stretch>
                  </pic:blipFill>
                  <pic:spPr>
                    <a:xfrm>
                      <a:off x="0" y="0"/>
                      <a:ext cx="4500000" cy="2340000"/>
                    </a:xfrm>
                    <a:prstGeom prst="rect"/>
                  </pic:spPr>
                </pic:pic>
              </a:graphicData>
            </a:graphic>
          </wp:inline>
        </w:drawing>
      </w:r>
    </w:p>
    <w:p>
      <w:pPr>
        <w:jc w:val="center"/>
      </w:pPr>
      <w:r>
        <w:rPr>
          <w:sz w:val="22"/>
        </w:rPr>
        <w:t>Figura 8 – Vigor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9" name="Picture 9"/>
            <wp:cNvGraphicFramePr>
              <a:graphicFrameLocks noChangeAspect="1"/>
            </wp:cNvGraphicFramePr>
            <a:graphic>
              <a:graphicData uri="http://schemas.openxmlformats.org/drawingml/2006/picture">
                <pic:pic>
                  <pic:nvPicPr>
                    <pic:cNvPr id="0" name="xb4_v_Fadiga.png"/>
                    <pic:cNvPicPr/>
                  </pic:nvPicPr>
                  <pic:blipFill>
                    <a:blip r:embed="rId17"/>
                    <a:stretch>
                      <a:fillRect/>
                    </a:stretch>
                  </pic:blipFill>
                  <pic:spPr>
                    <a:xfrm>
                      <a:off x="0" y="0"/>
                      <a:ext cx="4500000" cy="2340000"/>
                    </a:xfrm>
                    <a:prstGeom prst="rect"/>
                  </pic:spPr>
                </pic:pic>
              </a:graphicData>
            </a:graphic>
          </wp:inline>
        </w:drawing>
      </w:r>
    </w:p>
    <w:p>
      <w:pPr>
        <w:jc w:val="center"/>
      </w:pPr>
      <w:r>
        <w:rPr>
          <w:sz w:val="22"/>
        </w:rPr>
        <w:t>Figura 9 – Fadiga ao longo da semana: média diária (banda = IC95%), diagramas de caixa por dia e efeito Dia 1 → Dia 7.</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4500000" cy="2340000"/>
            <wp:docPr id="10" name="Picture 10"/>
            <wp:cNvGraphicFramePr>
              <a:graphicFrameLocks noChangeAspect="1"/>
            </wp:cNvGraphicFramePr>
            <a:graphic>
              <a:graphicData uri="http://schemas.openxmlformats.org/drawingml/2006/picture">
                <pic:pic>
                  <pic:nvPicPr>
                    <pic:cNvPr id="0" name="xb4_v_Confusao.png"/>
                    <pic:cNvPicPr/>
                  </pic:nvPicPr>
                  <pic:blipFill>
                    <a:blip r:embed="rId18"/>
                    <a:stretch>
                      <a:fillRect/>
                    </a:stretch>
                  </pic:blipFill>
                  <pic:spPr>
                    <a:xfrm>
                      <a:off x="0" y="0"/>
                      <a:ext cx="4500000" cy="2340000"/>
                    </a:xfrm>
                    <a:prstGeom prst="rect"/>
                  </pic:spPr>
                </pic:pic>
              </a:graphicData>
            </a:graphic>
          </wp:inline>
        </w:drawing>
      </w:r>
    </w:p>
    <w:p>
      <w:pPr>
        <w:jc w:val="center"/>
      </w:pPr>
      <w:r>
        <w:rPr>
          <w:sz w:val="22"/>
        </w:rPr>
        <w:t>Figura 10 – Confusão ao longo da semana: média diária (banda = IC95%), diagramas de caixa por dia e efeito Dia 1 → Dia 7.</w:t>
      </w:r>
    </w:p>
    <w:p>
      <w:pPr>
        <w:spacing w:after="120"/>
        <w:jc w:val="center"/>
      </w:pPr>
      <w:r>
        <w:rPr>
          <w:sz w:val="18"/>
        </w:rPr>
        <w:t>Fonte: elaboração dos autores (2026).</w:t>
      </w:r>
    </w:p>
    <w:p>
      <w:pPr>
        <w:spacing w:before="160" w:after="40"/>
      </w:pPr>
      <w:r>
        <w:rPr>
          <w:sz w:val="22"/>
        </w:rPr>
        <w:t>Tabela 12 – Correlação de Spearman entre as dimensões do BRUMS com associação significativa (n = 27 atletas).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 de dimensões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ρ</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 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0,037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0,017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 × 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 0,027</w:t>
            </w:r>
          </w:p>
        </w:tc>
      </w:tr>
    </w:tbl>
    <w:p>
      <w:pPr>
        <w:spacing w:after="120"/>
      </w:pPr>
      <w:r>
        <w:rPr>
          <w:sz w:val="18"/>
        </w:rPr>
        <w:t>Fonte: dados da pesquisa (2026).</w:t>
      </w:r>
    </w:p>
    <w:p>
      <w:pPr>
        <w:spacing w:line="360" w:lineRule="auto" w:after="120"/>
        <w:ind w:firstLine="709"/>
        <w:jc w:val="both"/>
      </w:pPr>
      <w:r>
        <w:rPr>
          <w:b w:val="0"/>
          <w:sz w:val="24"/>
        </w:rPr>
        <w:t>Quanto às relações entre as dimensões (Tabela 12), as dimensões negativas associam-se entre si e a fadiga relaciona-se com a depressão e a raiva; o vigor mantém-se relativamente independente. Esse acoplamento depende da carga: no dia de maior vigor a depressão é independente da fadiga (ρ = +0,38), mas no dia de maior fadiga torna-se forte (ρ = +0,76).</w:t>
      </w:r>
    </w:p>
    <w:p>
      <w:pPr>
        <w:spacing w:before="120" w:after="80" w:line="360" w:lineRule="auto"/>
      </w:pPr>
      <w:r>
        <w:rPr>
          <w:b/>
          <w:sz w:val="24"/>
        </w:rPr>
        <w:t>3.9 Classificação dos perfis de humor</w:t>
      </w:r>
    </w:p>
    <w:p>
      <w:pPr>
        <w:spacing w:line="360" w:lineRule="auto" w:after="120"/>
        <w:ind w:firstLine="709"/>
        <w:jc w:val="both"/>
      </w:pPr>
      <w:r>
        <w:rPr>
          <w:b w:val="0"/>
          <w:sz w:val="24"/>
        </w:rPr>
        <w:t>A classificação de cada observação em um dos seis perfis de humor oferece uma leitura integrada e visual do estado psicológico da equipe. Ao longo do microciclo, os seis perfis estiveram representados na amostra, com reorganização de prevalência entre o baseline e o último dia de treino.</w:t>
      </w:r>
    </w:p>
    <w:p>
      <w:pPr>
        <w:spacing w:before="120"/>
        <w:jc w:val="center"/>
      </w:pPr>
      <w:r>
        <w:drawing>
          <wp:inline xmlns:a="http://schemas.openxmlformats.org/drawingml/2006/main" xmlns:pic="http://schemas.openxmlformats.org/drawingml/2006/picture">
            <wp:extent cx="4860000" cy="2535652"/>
            <wp:docPr id="11" name="Picture 11"/>
            <wp:cNvGraphicFramePr>
              <a:graphicFrameLocks noChangeAspect="1"/>
            </wp:cNvGraphicFramePr>
            <a:graphic>
              <a:graphicData uri="http://schemas.openxmlformats.org/drawingml/2006/picture">
                <pic:pic>
                  <pic:nvPicPr>
                    <pic:cNvPr id="0" name="xb5_prev.png"/>
                    <pic:cNvPicPr/>
                  </pic:nvPicPr>
                  <pic:blipFill>
                    <a:blip r:embed="rId19"/>
                    <a:stretch>
                      <a:fillRect/>
                    </a:stretch>
                  </pic:blipFill>
                  <pic:spPr>
                    <a:xfrm>
                      <a:off x="0" y="0"/>
                      <a:ext cx="4860000" cy="2535652"/>
                    </a:xfrm>
                    <a:prstGeom prst="rect"/>
                  </pic:spPr>
                </pic:pic>
              </a:graphicData>
            </a:graphic>
          </wp:inline>
        </w:drawing>
      </w:r>
    </w:p>
    <w:p>
      <w:pPr>
        <w:jc w:val="center"/>
      </w:pPr>
      <w:r>
        <w:rPr>
          <w:sz w:val="22"/>
        </w:rPr>
        <w:t>Figura 11 – Distribuição (%) dos seis perfis de humor no baseline (Dia 1) e no Dia 7.</w:t>
      </w:r>
    </w:p>
    <w:p>
      <w:pPr>
        <w:spacing w:after="120"/>
        <w:jc w:val="center"/>
      </w:pPr>
      <w:r>
        <w:rPr>
          <w:sz w:val="18"/>
        </w:rPr>
        <w:t>Fonte: elaboração dos autores (2026).</w:t>
      </w:r>
    </w:p>
    <w:p>
      <w:pPr>
        <w:spacing w:before="160" w:after="40"/>
      </w:pPr>
      <w:r>
        <w:rPr>
          <w:sz w:val="22"/>
        </w:rPr>
        <w:t>Tabela 13 – Distribuição dos perfis de humor no baseline e no último dia de treino: n (%).</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Baseline n (%)</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 7 n (%)</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 (48,1)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(14,8)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 (10,8)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(7,4)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 (5,4)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 (13,5)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 (3,7)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 (21,6)</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6 (22,2)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 (27,0)</w:t>
            </w:r>
          </w:p>
        </w:tc>
      </w:tr>
    </w:tbl>
    <w:p>
      <w:pPr>
        <w:spacing w:after="120"/>
      </w:pPr>
      <w:r>
        <w:rPr>
          <w:sz w:val="18"/>
        </w:rPr>
        <w:t>Fonte: dados da pesquisa (2026).</w:t>
      </w:r>
    </w:p>
    <w:p>
      <w:pPr>
        <w:spacing w:line="360" w:lineRule="auto" w:after="120"/>
        <w:ind w:firstLine="709"/>
        <w:jc w:val="both"/>
      </w:pPr>
      <w:r>
        <w:rPr>
          <w:b w:val="0"/>
          <w:sz w:val="24"/>
        </w:rPr>
        <w:t>A prevalência deslocou-se do iceberg (48% no baseline) para a barbatana de tubarão (22% no Dia 7), com o iceberg em recuo para 22% (Figura 11; Tabela 13). Essa reorganização categórica, contudo, não alcançou significância estatística (χ² = 8,96; p = 0,111) — resultado esperado dado o pequeno número de observações distribuído por seis perfis, que reduz a contagem esperada por célula e a potência do teste qui-quadrado; a mudança é, portanto, uma tendência descritiva, coerente com a queda multivariada do vigor e a elevação da fadiga.</w:t>
      </w:r>
    </w:p>
    <w:p>
      <w:pPr>
        <w:spacing w:before="120"/>
        <w:jc w:val="center"/>
      </w:pPr>
      <w:r>
        <w:drawing>
          <wp:inline xmlns:a="http://schemas.openxmlformats.org/drawingml/2006/main" xmlns:pic="http://schemas.openxmlformats.org/drawingml/2006/picture">
            <wp:extent cx="5220000" cy="2839680"/>
            <wp:docPr id="12" name="Picture 12"/>
            <wp:cNvGraphicFramePr>
              <a:graphicFrameLocks noChangeAspect="1"/>
            </wp:cNvGraphicFramePr>
            <a:graphic>
              <a:graphicData uri="http://schemas.openxmlformats.org/drawingml/2006/picture">
                <pic:pic>
                  <pic:nvPicPr>
                    <pic:cNvPr id="0" name="xb6_clusters.png"/>
                    <pic:cNvPicPr/>
                  </pic:nvPicPr>
                  <pic:blipFill>
                    <a:blip r:embed="rId20"/>
                    <a:stretch>
                      <a:fillRect/>
                    </a:stretch>
                  </pic:blipFill>
                  <pic:spPr>
                    <a:xfrm>
                      <a:off x="0" y="0"/>
                      <a:ext cx="5220000" cy="2839680"/>
                    </a:xfrm>
                    <a:prstGeom prst="rect"/>
                  </pic:spPr>
                </pic:pic>
              </a:graphicData>
            </a:graphic>
          </wp:inline>
        </w:drawing>
      </w:r>
    </w:p>
    <w:p>
      <w:pPr>
        <w:jc w:val="center"/>
      </w:pPr>
      <w:r>
        <w:rPr>
          <w:sz w:val="22"/>
        </w:rPr>
        <w:t>Figura 12 – Perfis de humor (clusters) identificados na amostra, representados em escores T (M = 50; DP = 10) nas seis dimensões; percentuais entre parênteses.</w:t>
      </w:r>
    </w:p>
    <w:p>
      <w:pPr>
        <w:spacing w:after="120"/>
        <w:jc w:val="center"/>
      </w:pPr>
      <w:r>
        <w:rPr>
          <w:sz w:val="18"/>
        </w:rPr>
        <w:t>Fonte: elaboração dos autores (2026).</w:t>
      </w:r>
    </w:p>
    <w:p>
      <w:pPr>
        <w:spacing w:line="360" w:lineRule="auto" w:after="120"/>
        <w:ind w:firstLine="709"/>
        <w:jc w:val="both"/>
      </w:pPr>
      <w:r>
        <w:rPr>
          <w:b w:val="0"/>
          <w:sz w:val="24"/>
        </w:rPr>
        <w:t>A forma de cada cluster identificado na amostra (Figura 12) reproduz a taxonomia consagrada dos seis perfis de humor (PARSONS-SMITH; TERRY; MACHIN, 2017): o iceberg, com vigor elevado sobre dimensões negativas baixas; a barbatana de tubarão, com pico isolado de fadiga; o submerso, com todas as dimensões abaixo da média; e o Everest invertido, com todas as negativas elevadas. Comparada à distribuição de referência de uma grande amostra do mesmo contexto brasileiro (898 atletas de elite e de base; DE MIRANDA ROHLFS et al., 2024) — na qual, em avaliação momentânea, o iceberg foi o perfil mais prevalente (34,3%) e os perfis de risco os menos prevalentes (barbatana de tubarão 11,6%; iceberg invertido 6,2%; Everest invertido 2,7%) —, a nossa amostra parte de um predomínio de iceberg semelhante no Dia 1 (48%), mas, ao final do microciclo, eleva marcadamente a barbatana de tubarão (22% no Dia 7), muito acima do patamar de referência. Isso evidencia o efeito específico do acúmulo de carga da última semana de pré-temporada sobre o perfil de fadiga, sem instalação relevante dos perfis de maior risco à saúde mental (Everest invertido e submerso).</w:t>
      </w:r>
    </w:p>
    <w:p>
      <w:pPr>
        <w:spacing w:before="160" w:after="40"/>
      </w:pPr>
      <w:r>
        <w:rPr>
          <w:sz w:val="22"/>
        </w:rPr>
        <w:t>Tabela 14 – Regressão logística da probabilidade de perfil de humor em função do dia do microciclo (tendência): razão de chances por dia, probabilidade prevista no Dia 1 e no Dia 7, discriminação e ajuste.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Perfil (desfecho)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OR por dia [IC95%]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AUC</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Pseudo-R²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0,93 [0,81–1,05]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0,003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1,37 [1,22–1,70]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0,047</w:t>
            </w:r>
          </w:p>
        </w:tc>
      </w:tr>
    </w:tbl>
    <w:p>
      <w:pPr>
        <w:spacing w:after="0"/>
      </w:pPr>
      <w:r>
        <w:rPr>
          <w:i/>
          <w:sz w:val="17"/>
        </w:rPr>
        <w:t>OR = razão de chances (odds ratio) por incremento de um dia; IC95% por reamostragem (bootstrap) de atletas; Pseudo-R² de McFadden. OR &gt; 1 indica aumento da chance do perfil ao longo da semana.</w:t>
      </w:r>
    </w:p>
    <w:p>
      <w:pPr>
        <w:spacing w:after="120"/>
      </w:pPr>
      <w:r>
        <w:rPr>
          <w:sz w:val="18"/>
        </w:rPr>
        <w:t>Fonte: dados da pesquisa (2026).</w:t>
      </w:r>
    </w:p>
    <w:p>
      <w:pPr>
        <w:spacing w:line="360" w:lineRule="auto" w:after="120"/>
        <w:ind w:firstLine="709"/>
        <w:jc w:val="both"/>
      </w:pPr>
      <w:r>
        <w:rPr>
          <w:b w:val="0"/>
          <w:sz w:val="24"/>
        </w:rPr>
        <w:t>Para testar a migração de perfil como uma tendência ao longo da semana — e não pela via categórica de baixa potência do qui-quadrado —, ajustou-se uma regressão logística da probabilidade de cada perfil em função do dia do microciclo (Tabela 14). A chance do perfil de barbatana de tubarão cresceu de forma consistente a cada dia (OR = 1,37 por dia; IC95% 1,22–1,70), com elevação da probabilidade prevista de 0,04 no Dia 1 para 0,20 no Dia 7 — um aumento estatisticamente sustentado (o IC95% do OR exclui 1), que dá suporte inferencial à migração que o teste categórico não captara. Em espelho, a chance do perfil iceberg declinou ao longo da semana, embora sem significância (OR = 0,93 por dia; IC95% 0,81–1,05). O contraste confirma, no plano dos perfis, o mesmo eixo energia–fadiga: à medida que a semana avança, a prontidão cede lugar à assinatura de fadiga.</w:t>
      </w:r>
    </w:p>
    <w:p>
      <w:pPr>
        <w:spacing w:before="120" w:after="80" w:line="360" w:lineRule="auto"/>
      </w:pPr>
      <w:r>
        <w:rPr>
          <w:b/>
          <w:sz w:val="24"/>
        </w:rPr>
        <w:t>3.10 Modelagem polinomial das trajetórias: derivadas e taxa de variação</w:t>
      </w:r>
    </w:p>
    <w:p>
      <w:pPr>
        <w:spacing w:before="160" w:after="40"/>
      </w:pPr>
      <w:r>
        <w:rPr>
          <w:sz w:val="22"/>
        </w:rPr>
        <w:t>Tabela 15 – Modelagem polinomial (grau 3) das médias diárias do eixo energia–fadiga: qualidade do ajuste (R²), taxa de variação média, taxa instantânea (P′) e aceleração (P″) nas bordas, e ponto de inflexão.</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Taxa média/dia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P″(D7)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Inflexão (dia)</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+2,23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+4,69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w:t>
            </w:r>
          </w:p>
        </w:tc>
      </w:tr>
    </w:tbl>
    <w:p>
      <w:pPr>
        <w:spacing w:after="0"/>
      </w:pPr>
      <w:r>
        <w:rPr>
          <w:i/>
          <w:sz w:val="17"/>
        </w:rPr>
        <w:t>P′ = derivada primeira (taxa de variação); P″ = derivada segunda (aceleração/concavidade); inflexão = raiz de P″ = 0. As dimensões negativas, com efeito de piso e ajuste fraco, foram omitidas.</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3" name="Picture 13"/>
            <wp:cNvGraphicFramePr>
              <a:graphicFrameLocks noChangeAspect="1"/>
            </wp:cNvGraphicFramePr>
            <a:graphic>
              <a:graphicData uri="http://schemas.openxmlformats.org/drawingml/2006/picture">
                <pic:pic>
                  <pic:nvPicPr>
                    <pic:cNvPr id="0" name="deriv_poly.png"/>
                    <pic:cNvPicPr/>
                  </pic:nvPicPr>
                  <pic:blipFill>
                    <a:blip r:embed="rId21"/>
                    <a:stretch>
                      <a:fillRect/>
                    </a:stretch>
                  </pic:blipFill>
                  <pic:spPr>
                    <a:xfrm>
                      <a:off x="0" y="0"/>
                      <a:ext cx="5400000" cy="2121429"/>
                    </a:xfrm>
                    <a:prstGeom prst="rect"/>
                  </pic:spPr>
                </pic:pic>
              </a:graphicData>
            </a:graphic>
          </wp:inline>
        </w:drawing>
      </w:r>
    </w:p>
    <w:p>
      <w:pPr>
        <w:jc w:val="center"/>
      </w:pPr>
      <w:r>
        <w:rPr>
          <w:sz w:val="22"/>
        </w:rPr>
        <w:t>Figura 13 – Ajuste polinomial P(t) das médias diárias de vigor e fadiga, com a derivada P′(t) (taxa de variação) e o ponto de inflexão.</w:t>
      </w:r>
    </w:p>
    <w:p>
      <w:pPr>
        <w:spacing w:after="120"/>
        <w:jc w:val="center"/>
      </w:pPr>
      <w:r>
        <w:rPr>
          <w:sz w:val="18"/>
        </w:rPr>
        <w:t>Fonte: elaboração dos autores (2026).</w:t>
      </w:r>
    </w:p>
    <w:p>
      <w:pPr>
        <w:spacing w:line="360" w:lineRule="auto" w:after="120"/>
        <w:ind w:firstLine="709"/>
        <w:jc w:val="both"/>
      </w:pPr>
      <w:r>
        <w:rPr>
          <w:b w:val="0"/>
          <w:sz w:val="24"/>
        </w:rPr>
        <w:t>Para caracterizar formalmente a dinâmica temporal, ajustou-se uma função polinomial de grau 3 às médias diárias de cada dimensão e derivaram-se as respectivas taxas de variação (Tabela 15; Figura 13). A modelagem restringiu-se ao eixo energia–fadiga (vigor, fadiga e PTH), onde os ajustes foram excelentes (vigor R² = 0,96; fadiga R² = 0,95); as dimensões negativas, próximas do piso e com variância reduzida, ajustaram-se mal e foram omitidas da modelagem. O vigor caiu a uma taxa média de -0,64 ponto/dia, com a maior velocidade de queda no início da semana (P′ no Dia 1 = -3,52 ponto/dia) e desaceleração progressiva, ao passo que a fadiga subiu em espelho (taxa média = +0,64 ponto/dia; P′ no Dia 1 = +2,23). A derivada segunda localizou um ponto de inflexão em torno do dia 4 para ambas — o momento em que a taxa de deterioração deixa de acelerar —, o que fornece uma leitura quantitativa do ritmo do desgaste e sinaliza a metade do microciclo como o marco a partir do qual a resposta afetiva muda de regime.</w:t>
      </w:r>
    </w:p>
    <w:p>
      <w:pPr>
        <w:spacing w:line="360" w:lineRule="auto" w:after="120"/>
        <w:ind w:firstLine="709"/>
        <w:jc w:val="both"/>
      </w:pPr>
      <w:r>
        <w:rPr>
          <w:b w:val="0"/>
          <w:sz w:val="24"/>
        </w:rPr>
        <w:t>A derivada segunda (P″) descreve a aceleração da mudança e a concavidade da trajetória. No vigor, P″ é positiva no início (+2,51) — a queda, embora acentuada, desacelera rumo ao meio da semana — e torna-se negativa ao final (-2,14), quando a curva volta a se inclinar para o mínimo do Dia 7; a fadiga apresenta o padrão espelhado (P″ = -1,55 no Dia 1; +1,51 no Dia 7). A troca de sinal de P″ no dia ≈ 4 confirma, formalmente, a inflexão sincronizada das duas dimensões. Quanto ao comportamento conjunto, as curvas de taxa de variação (P′) do vigor e da fadiga são praticamente imagens especulares: a correlação entre elas é de -0,97, o que indica que a perda de energia e o ganho de fadiga aceleram e desaceleram em uníssono ao longo do microciclo. Ambas acoplam-se fortemente à Perturbação Total do Humor (fadiga–PTH = +0,97; vigor–PTH = -0,88), o que confirma, no plano das derivadas, que energia e fadiga operam como um eixo único e integrado — o mesmo eixo que domina toda a resposta afetiva à carga.</w:t>
      </w:r>
    </w:p>
    <w:p>
      <w:pPr>
        <w:spacing w:before="160" w:after="40"/>
      </w:pPr>
      <w:r>
        <w:rPr>
          <w:sz w:val="22"/>
        </w:rPr>
        <w:t>Tabela 16 – Extremos da função ajustada e limites da derivada, por dimensão: valor máximo e mínimo modelados (com o dia) e os limites da taxa de variação P′ — subida máxima e queda máxima.</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máx.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Valor mín.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máx./subida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P′ mín./queda (dia)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+0,06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+0,62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-0,10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0,42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1,1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+1,63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-0,35 (Dia 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0,73</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4,4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+0,55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-3,52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7,3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3,4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+2,23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1,0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0,3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+0,13 (Dia 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-0,67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0,85</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7"/>
              </w:rPr>
              <w:t>PTH</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8,6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 (Dia 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+6,41 (Dia 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-0,97 (Dia 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7"/>
              </w:rPr>
              <w:t>0,80</w:t>
            </w:r>
          </w:p>
        </w:tc>
      </w:tr>
    </w:tbl>
    <w:p>
      <w:pPr>
        <w:spacing w:after="0"/>
      </w:pPr>
      <w:r>
        <w:rPr>
          <w:i/>
          <w:sz w:val="17"/>
        </w:rPr>
        <w:t>Valores e taxas extraídos da função polinomial P(t) no intervalo [Dia 1; Dia 7]. Para as dimensões negativas (baixo R²; efeito de piso), os extremos modelados são apenas indicativos. Os máximos/mínimos observados constam na tabela de dias de pico (seção 3.7).</w:t>
      </w:r>
    </w:p>
    <w:p>
      <w:pPr>
        <w:spacing w:after="120"/>
      </w:pPr>
      <w:r>
        <w:rPr>
          <w:sz w:val="18"/>
        </w:rPr>
        <w:t>Fonte: dados da pesquisa (2026).</w:t>
      </w:r>
    </w:p>
    <w:p>
      <w:pPr>
        <w:spacing w:line="360" w:lineRule="auto" w:after="120"/>
        <w:ind w:firstLine="709"/>
        <w:jc w:val="both"/>
      </w:pPr>
      <w:r>
        <w:rPr>
          <w:b w:val="0"/>
          <w:sz w:val="24"/>
        </w:rPr>
        <w:t>Os extremos das funções ajustadas e os limites de suas derivadas (Tabela 16) delimitam quantitativamente a resposta. O vigor varia entre um máximo de 8,2 pontos no Dia 1 e um mínimo de 4,4 no Dia 7, com a taxa de variação confinada entre -3,52 ponto/dia (queda máxima, no Dia 1) e +0,55 ponto/dia (leve recuperação em torno do meio da semana); a fadiga percorre o intervalo inverso (mínimo de 3,4 no Dia 1; máximo de 7,3 no Dia 7), com taxa entre -0,13 e +2,23 ponto/dia. Esses limites confirmam que a maior velocidade de mudança ocorre no início do microciclo e que o sistema afetivo opera dentro de uma faixa de variação bem definida.</w:t>
      </w:r>
    </w:p>
    <w:p>
      <w:pPr>
        <w:spacing w:before="120"/>
        <w:jc w:val="center"/>
      </w:pPr>
      <w:r>
        <w:drawing>
          <wp:inline xmlns:a="http://schemas.openxmlformats.org/drawingml/2006/main" xmlns:pic="http://schemas.openxmlformats.org/drawingml/2006/picture">
            <wp:extent cx="5580000" cy="2717217"/>
            <wp:docPr id="14" name="Picture 14"/>
            <wp:cNvGraphicFramePr>
              <a:graphicFrameLocks noChangeAspect="1"/>
            </wp:cNvGraphicFramePr>
            <a:graphic>
              <a:graphicData uri="http://schemas.openxmlformats.org/drawingml/2006/picture">
                <pic:pic>
                  <pic:nvPicPr>
                    <pic:cNvPr id="0" name="crossover.png"/>
                    <pic:cNvPicPr/>
                  </pic:nvPicPr>
                  <pic:blipFill>
                    <a:blip r:embed="rId22"/>
                    <a:stretch>
                      <a:fillRect/>
                    </a:stretch>
                  </pic:blipFill>
                  <pic:spPr>
                    <a:xfrm>
                      <a:off x="0" y="0"/>
                      <a:ext cx="5580000" cy="2717217"/>
                    </a:xfrm>
                    <a:prstGeom prst="rect"/>
                  </pic:spPr>
                </pic:pic>
              </a:graphicData>
            </a:graphic>
          </wp:inline>
        </w:drawing>
      </w:r>
    </w:p>
    <w:p>
      <w:pPr>
        <w:jc w:val="center"/>
      </w:pPr>
      <w:r>
        <w:rPr>
          <w:sz w:val="22"/>
        </w:rPr>
        <w:t>Figura 14 – Cruzamento energia–fadiga: curvas suavizadas de vigor e fadiga com os pontos exatos de interseção (× ) e a área entre elas. O vigor parte muito acima e a fadiga o ultrapassa ao longo da semana.</w:t>
      </w:r>
    </w:p>
    <w:p>
      <w:pPr>
        <w:spacing w:after="120"/>
        <w:jc w:val="center"/>
      </w:pPr>
      <w:r>
        <w:rPr>
          <w:sz w:val="18"/>
        </w:rPr>
        <w:t>Fonte: elaboração dos autores (2026).</w:t>
      </w:r>
    </w:p>
    <w:p>
      <w:pPr>
        <w:spacing w:line="360" w:lineRule="auto" w:after="120"/>
        <w:ind w:firstLine="709"/>
        <w:jc w:val="both"/>
      </w:pPr>
      <w:r>
        <w:rPr>
          <w:b w:val="0"/>
          <w:sz w:val="24"/>
        </w:rPr>
        <w:t>A sobreposição das curvas suavizadas de vigor e fadiga permite localizar o momento exato de sua inversão (Figura 14). No primeiro dia, o vigor supera a fadiga por ampla margem (4,9 pontos); essa vantagem colapsa já no Dia 2, e as duas dimensões passam a se cruzar repetidamente na região central da semana — os pontos de interseção das funções ocorrem nos dias 2, 4, 6 — reflexo de um período em que energia e fadiga permanecem estatisticamente entrelaçadas. A partir do último cruzamento (Dia 6), a fadiga assume e se distancia do vigor, e encerra a semana 2,8 pontos acima. Esse cruzamento energia–fadiga é a assinatura gráfica da migração do perfil de prontidão para o perfil de fadiga.</w:t>
      </w:r>
    </w:p>
    <w:p>
      <w:pPr>
        <w:spacing w:before="120" w:after="80" w:line="360" w:lineRule="auto"/>
      </w:pPr>
      <w:r>
        <w:rPr>
          <w:b/>
          <w:sz w:val="24"/>
        </w:rPr>
        <w:t>3.11 Decomposição sinal–ruído e suavização das trajetórias</w:t>
      </w:r>
    </w:p>
    <w:p>
      <w:pPr>
        <w:spacing w:before="160" w:after="40"/>
      </w:pPr>
      <w:r>
        <w:rPr>
          <w:sz w:val="22"/>
        </w:rPr>
        <w:t>Tabela 17 – Decomposição sinal–ruído das trajetórias diárias: proporção de sinal (variância explicada pela componente suave) e de ruído (resíduo), razão sinal-ruído (SNR) e SNR em decibéis.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Sinal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Ruído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SNR (dB)</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+6,1</w:t>
            </w:r>
          </w:p>
        </w:tc>
      </w:tr>
    </w:tbl>
    <w:p>
      <w:pPr>
        <w:spacing w:after="0"/>
      </w:pPr>
      <w:r>
        <w:rPr>
          <w:i/>
          <w:sz w:val="17"/>
        </w:rPr>
        <w:t>Sinal = componente suave (polinômio ajustado); ruído = resíduo em torno do sinal. SNR = variância do sinal / variância do ruído.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21429"/>
            <wp:docPr id="15" name="Picture 15"/>
            <wp:cNvGraphicFramePr>
              <a:graphicFrameLocks noChangeAspect="1"/>
            </wp:cNvGraphicFramePr>
            <a:graphic>
              <a:graphicData uri="http://schemas.openxmlformats.org/drawingml/2006/picture">
                <pic:pic>
                  <pic:nvPicPr>
                    <pic:cNvPr id="0" name="smooth_signal.png"/>
                    <pic:cNvPicPr/>
                  </pic:nvPicPr>
                  <pic:blipFill>
                    <a:blip r:embed="rId23"/>
                    <a:stretch>
                      <a:fillRect/>
                    </a:stretch>
                  </pic:blipFill>
                  <pic:spPr>
                    <a:xfrm>
                      <a:off x="0" y="0"/>
                      <a:ext cx="5400000" cy="2121429"/>
                    </a:xfrm>
                    <a:prstGeom prst="rect"/>
                  </pic:spPr>
                </pic:pic>
              </a:graphicData>
            </a:graphic>
          </wp:inline>
        </w:drawing>
      </w:r>
    </w:p>
    <w:p>
      <w:pPr>
        <w:jc w:val="center"/>
      </w:pPr>
      <w:r>
        <w:rPr>
          <w:sz w:val="22"/>
        </w:rPr>
        <w:t>Figura 15 – Trajetórias diárias suavizadas: sinal (curva) sobreposto às médias diárias observadas (pontos), com separação entre a tendência e oruído. A) eixo energia–fadiga; B) subescalas negativas.</w:t>
      </w:r>
    </w:p>
    <w:p>
      <w:pPr>
        <w:spacing w:after="120"/>
        <w:jc w:val="center"/>
      </w:pPr>
      <w:r>
        <w:rPr>
          <w:sz w:val="18"/>
        </w:rPr>
        <w:t>Fonte: elaboração dos autores (2026).</w:t>
      </w:r>
    </w:p>
    <w:p>
      <w:pPr>
        <w:spacing w:line="360" w:lineRule="auto" w:after="120"/>
        <w:ind w:firstLine="709"/>
        <w:jc w:val="both"/>
      </w:pPr>
      <w:r>
        <w:rPr>
          <w:b w:val="0"/>
          <w:sz w:val="24"/>
        </w:rPr>
        <w:t>Para separar a tendência sistemática (sinal) do ruído de amostragem e obter uma leitura visual mais limpa, cada trajetória diária foi decomposta em uma componente suave — a função polinomial ajustada — e um resíduo (Tabela 17; Figura 15). A suavização é altamente informativa no eixo energia–fadiga: o vigor e a fadiga são quase inteiramente sinal (96% e 95% da variância; razão sinal-ruído de 25,1 e 18,1, ou +14,0 e +12,6 dB), de modo que suas curvas suavizadas revelam com nitidez o cruzamento energia–fadiga em torno da metade da semana. Nas dimensões negativas, próximas do piso, a fração de ruído é muito maior — na depressão, o ruído (58%) supera o sinal (42%; SNR = 0,7), o que explica por que suas oscilações diárias não devem ser sobreinterpretadas. Em termos aplicados, a decomposição indica que o monitoramento deve priorizar o vigor e a fadiga, cujo sinal é robusto, e tratar as pequenas variações das dimensões negativas com a devida cautela.</w:t>
      </w:r>
    </w:p>
    <w:p>
      <w:pPr>
        <w:spacing w:before="120" w:after="80" w:line="360" w:lineRule="auto"/>
      </w:pPr>
      <w:r>
        <w:rPr>
          <w:b/>
          <w:sz w:val="24"/>
        </w:rPr>
        <w:t>3.12 Modelagem individual: trajetórias por atleta</w:t>
      </w:r>
    </w:p>
    <w:p>
      <w:pPr>
        <w:spacing w:before="120"/>
        <w:jc w:val="center"/>
      </w:pPr>
      <w:r>
        <w:drawing>
          <wp:inline xmlns:a="http://schemas.openxmlformats.org/drawingml/2006/main" xmlns:pic="http://schemas.openxmlformats.org/drawingml/2006/picture">
            <wp:extent cx="5400000" cy="2121429"/>
            <wp:docPr id="16" name="Picture 16"/>
            <wp:cNvGraphicFramePr>
              <a:graphicFrameLocks noChangeAspect="1"/>
            </wp:cNvGraphicFramePr>
            <a:graphic>
              <a:graphicData uri="http://schemas.openxmlformats.org/drawingml/2006/picture">
                <pic:pic>
                  <pic:nvPicPr>
                    <pic:cNvPr id="0" name="indiv_spaghetti.png"/>
                    <pic:cNvPicPr/>
                  </pic:nvPicPr>
                  <pic:blipFill>
                    <a:blip r:embed="rId24"/>
                    <a:stretch>
                      <a:fillRect/>
                    </a:stretch>
                  </pic:blipFill>
                  <pic:spPr>
                    <a:xfrm>
                      <a:off x="0" y="0"/>
                      <a:ext cx="5400000" cy="2121429"/>
                    </a:xfrm>
                    <a:prstGeom prst="rect"/>
                  </pic:spPr>
                </pic:pic>
              </a:graphicData>
            </a:graphic>
          </wp:inline>
        </w:drawing>
      </w:r>
    </w:p>
    <w:p>
      <w:pPr>
        <w:jc w:val="center"/>
      </w:pPr>
      <w:r>
        <w:rPr>
          <w:sz w:val="22"/>
        </w:rPr>
        <w:t>Figura 16 – Trajetórias individuais de vigor e fadiga por atleta (linhas finas) e a média do grupo (linha grossa), que expõem aheterogeneidade da resposta.</w:t>
      </w:r>
    </w:p>
    <w:p>
      <w:pPr>
        <w:spacing w:after="120"/>
        <w:jc w:val="center"/>
      </w:pPr>
      <w:r>
        <w:rPr>
          <w:sz w:val="18"/>
        </w:rPr>
        <w:t>Fonte: elaboração dos autores (2026).</w:t>
      </w:r>
    </w:p>
    <w:p>
      <w:pPr>
        <w:spacing w:line="360" w:lineRule="auto" w:after="120"/>
        <w:ind w:firstLine="709"/>
        <w:jc w:val="both"/>
      </w:pPr>
      <w:r>
        <w:rPr>
          <w:b w:val="0"/>
          <w:sz w:val="24"/>
        </w:rPr>
        <w:t>Além da tendência do grupo, a resposta foi modelada por atleta, com o ajuste, para cada participante, de sua própria trajetória ao longo da semana (Figura 16). A cobertura permitiu a modelagem individual: 19 dos 27 atletas responderam nos sete dias e 24 têm dados suficientes (≥ 4 dias) para um ajuste polinomial individual; para todos foi possível estimar a taxa de variação individual. Em média, o vigor caiu -0,48 ponto/dia (DP 0,52) e a fadiga subiu +0,39 ponto/dia (DP 0,67), mas com nítida heterogeneidade entre atletas: 78% apresentaram a queda esperada de vigor e 78% o aumento esperado de fadiga, enquanto os demais mantiveram-se estáveis ou responderam na direção oposta. Essa dispersão das inclinações individuais mostra que a média do grupo convive com respondedores e não respondedores, o que reforça o valor do monitoramento individualizado — a mesma carga produz trajetórias afetivas distintas.</w:t>
      </w:r>
    </w:p>
    <w:p>
      <w:pPr>
        <w:spacing w:before="120" w:after="80" w:line="360" w:lineRule="auto"/>
      </w:pPr>
      <w:r>
        <w:rPr>
          <w:b/>
          <w:sz w:val="24"/>
        </w:rPr>
        <w:t>3.13 Trajetória em alta resolução: 13 pontos pré/pós</w:t>
      </w:r>
    </w:p>
    <w:p>
      <w:pPr>
        <w:spacing w:before="120"/>
        <w:jc w:val="center"/>
      </w:pPr>
      <w:r>
        <w:drawing>
          <wp:inline xmlns:a="http://schemas.openxmlformats.org/drawingml/2006/main" xmlns:pic="http://schemas.openxmlformats.org/drawingml/2006/picture">
            <wp:extent cx="5580000" cy="2291786"/>
            <wp:docPr id="17" name="Picture 17"/>
            <wp:cNvGraphicFramePr>
              <a:graphicFrameLocks noChangeAspect="1"/>
            </wp:cNvGraphicFramePr>
            <a:graphic>
              <a:graphicData uri="http://schemas.openxmlformats.org/drawingml/2006/picture">
                <pic:pic>
                  <pic:nvPicPr>
                    <pic:cNvPr id="0" name="pts13_curve.png"/>
                    <pic:cNvPicPr/>
                  </pic:nvPicPr>
                  <pic:blipFill>
                    <a:blip r:embed="rId25"/>
                    <a:stretch>
                      <a:fillRect/>
                    </a:stretch>
                  </pic:blipFill>
                  <pic:spPr>
                    <a:xfrm>
                      <a:off x="0" y="0"/>
                      <a:ext cx="5580000" cy="2291786"/>
                    </a:xfrm>
                    <a:prstGeom prst="rect"/>
                  </pic:spPr>
                </pic:pic>
              </a:graphicData>
            </a:graphic>
          </wp:inline>
        </w:drawing>
      </w:r>
    </w:p>
    <w:p>
      <w:pPr>
        <w:jc w:val="center"/>
      </w:pPr>
      <w:r>
        <w:rPr>
          <w:sz w:val="22"/>
        </w:rPr>
        <w:t>Figura 17 – Trajetória do grupo em 13 pontos temporais (baseline + pré e pós-treino de cada dia), com a dinâmica intradiária além da média diária.</w:t>
      </w:r>
    </w:p>
    <w:p>
      <w:pPr>
        <w:spacing w:after="120"/>
        <w:jc w:val="center"/>
      </w:pPr>
      <w:r>
        <w:rPr>
          <w:sz w:val="18"/>
        </w:rPr>
        <w:t>Fonte: elaboração dos autores (2026).</w:t>
      </w:r>
    </w:p>
    <w:p>
      <w:pPr>
        <w:spacing w:line="360" w:lineRule="auto" w:after="120"/>
        <w:ind w:firstLine="709"/>
        <w:jc w:val="both"/>
      </w:pPr>
      <w:r>
        <w:rPr>
          <w:b w:val="0"/>
          <w:sz w:val="24"/>
        </w:rPr>
        <w:t>Com base nas duas coletas diárias dos dias de treino, a trajetória do grupo foi reconstruída em alta resolução, com 13 pontos temporais — a linha de base e os momentos pré e pós de cada um dos seis dias de treino (Figura 17). Essa resolução revela a dinâmica intradiária que a média diária mascara: em cada dia de treino, o vigor tende a cair e a fadiga (e a PTH) a subir do pré para o pós, com recuperação parcial na manhã seguinte — um padrão de dente de serra sobreposto à tendência semanal de queda de energia e acúmulo de fadiga. A leitura de alta resolução, portanto, confirma que a deterioração semanal resulta da soma de perturbações agudas incompletamente revertidas entre as sessões.</w:t>
      </w:r>
    </w:p>
    <w:p>
      <w:pPr>
        <w:spacing w:before="120" w:after="80" w:line="360" w:lineRule="auto"/>
      </w:pPr>
      <w:r>
        <w:rPr>
          <w:b/>
          <w:sz w:val="24"/>
        </w:rPr>
        <w:t>3.14 Auditoria de robustez: filtragem de sinal e ruído</w:t>
      </w:r>
    </w:p>
    <w:p>
      <w:pPr>
        <w:spacing w:before="160" w:after="40"/>
      </w:pPr>
      <w:r>
        <w:rPr>
          <w:sz w:val="22"/>
        </w:rPr>
        <w:t>Tabela 18 – Auditoria de robustez: principais resultados antes e depois da remoção de 11 observações atípicas (3.8% do total) por distância de Mahalanobis.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Métrica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brutos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Dados filtrados</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D1→D7 (dz)</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MANOVA (Wilks λ)</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0,180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0,0006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 Friedman (p)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0,0066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0,0163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ρ fadiga × fadiga física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r>
    </w:tbl>
    <w:p>
      <w:pPr>
        <w:spacing w:after="0"/>
      </w:pPr>
      <w:r>
        <w:rPr>
          <w:i/>
          <w:sz w:val="17"/>
        </w:rPr>
        <w:t>Filtro: observações com distância de Mahalanobis nas seis subescalas acima do limiar de p &lt; 0,001.</w:t>
      </w:r>
    </w:p>
    <w:p>
      <w:pPr>
        <w:spacing w:after="120"/>
      </w:pPr>
      <w:r>
        <w:rPr>
          <w:sz w:val="18"/>
        </w:rPr>
        <w:t>Fonte: dados da pesquisa (2026).</w:t>
      </w:r>
    </w:p>
    <w:p>
      <w:pPr>
        <w:spacing w:line="360" w:lineRule="auto" w:after="120"/>
        <w:ind w:firstLine="709"/>
        <w:jc w:val="both"/>
      </w:pPr>
      <w:r>
        <w:rPr>
          <w:b w:val="0"/>
          <w:sz w:val="24"/>
        </w:rPr>
        <w:t>Por fim, para verificar se as conclusões dependem de ruído amostral, todas as análises centrais foram reexecutadas após filtragem: identificaram-se e removeram-se 11 observações multivariadamente atípicas (3,8% do total) e os principais resultados foram recomputados (Tabela 18). A filtragem praticamente não alterou nada — o tamanho de efeito da queda de vigor (dz de -1,33 para -1,32) e do aumento de fadiga, a MANOVA (Wilks λ de 0,181 para 0,180), os testes de Friedman e as correlações-chave mantiveram magnitude, direção e significância. Essa estabilidade confirma que os achados do estudo são robustos e refletem sinal sistemático, e não artefatos de observações ruidosas.</w:t>
      </w:r>
    </w:p>
    <w:p>
      <w:pPr>
        <w:spacing w:before="120" w:after="80" w:line="360" w:lineRule="auto"/>
      </w:pPr>
      <w:r>
        <w:rPr>
          <w:b/>
          <w:sz w:val="24"/>
        </w:rPr>
        <w:t>3.15 Modelagem bayesiana multinível: componentes aguda e crônica e heterogeneidade individual</w:t>
      </w:r>
    </w:p>
    <w:p>
      <w:pPr>
        <w:spacing w:before="160" w:after="40"/>
      </w:pPr>
      <w:r>
        <w:rPr>
          <w:sz w:val="22"/>
        </w:rPr>
        <w:t>Tabela 19 – Modelo bayesiano multinível de curva de crescimento para o vigor e a fadiga: estimativas a posteriori (média e intervalo de credibilidade de 95%).</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Parâmetro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agudo — pré→pós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-1,18 [-1,68; -0,69]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+1,50 [+0,93; +2,09]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Efeito crônico — por dia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-0,33 [-0,55;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+0,31 [+0,04; +0,59]</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Correlação intraclasse (ICC)</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 [0,49; 0,79]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0,36 [0,18; 0,55]</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DP das inclinações individuais</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 [0,32; 0,65]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0,55 [0,38; 0,79]</w:t>
            </w:r>
          </w:p>
        </w:tc>
      </w:tr>
    </w:tbl>
    <w:p>
      <w:pPr>
        <w:spacing w:after="0"/>
      </w:pPr>
      <w:r>
        <w:rPr>
          <w:i/>
          <w:sz w:val="17"/>
        </w:rPr>
        <w:t>Estimação por amostrador de Gibbs (semente 2024); intervalos de credibilidade que excluem zero indicam efeito consistente. ICC = proporção da variância atribuível a diferenças entre atletas.</w:t>
      </w:r>
    </w:p>
    <w:p>
      <w:pPr>
        <w:spacing w:after="120"/>
      </w:pPr>
      <w:r>
        <w:rPr>
          <w:sz w:val="18"/>
        </w:rPr>
        <w:t>Fonte: dados da pesquisa (2026).</w:t>
      </w:r>
    </w:p>
    <w:p>
      <w:pPr>
        <w:spacing w:line="360" w:lineRule="auto" w:after="120"/>
        <w:ind w:firstLine="709"/>
        <w:jc w:val="both"/>
      </w:pPr>
      <w:r>
        <w:rPr>
          <w:b w:val="0"/>
          <w:sz w:val="24"/>
        </w:rPr>
        <w:t>Um modelo bayesiano multinível de curva de crescimento decompôs formalmente a resposta em uma componente aguda (pré→pós, intrassessão) e uma componente crônica (deriva entre dias), com trajetórias específicas de cada atleta (Tabela 19). Ambas as componentes foram consistentes: para o vigor, o choque agudo (-1,18 pontos por sessão; IC95% -1,68 a -0,69) superou em cerca de quatro vezes a deriva crônica (-0,33 por dia; IC95% -0,55 a -0,11), e um padrão simétrico repetiu-se na fadiga (agudo +1,50; IC95% +0,93 a +2,09 | crônico +0,31; IC95% +0,04 a +0,59) — todos os intervalos de credibilidade excluíram o zero. As médias a posteriori praticamente coincidiram com as do modelo misto de máxima verossimilhança restrita, o que confirma a estabilidade da estimação. A partição da variância revelou naturezas distintas: o vigor comportou-se como traço, com a maior parte da variância entre atletas (ICC = 0,65), ao passo que a fadiga foi mais um estado, com variância predominantemente intraindividual (ICC = 0,36). Sobretudo, a dispersão das inclinações individuais foi apreciável (DP = 0,46 no vigor; 0,55 na fadiga), da ordem da própria deriva média: embora o grupo derive na mesma direção, a velocidade da deterioração difere entre atletas — heterogeneidade que o modelo quantifica e que respalda a leitura individualizada do monitoramento.</w:t>
      </w:r>
    </w:p>
    <w:p>
      <w:pPr>
        <w:spacing w:before="120"/>
        <w:jc w:val="center"/>
      </w:pPr>
      <w:r>
        <w:drawing>
          <wp:inline xmlns:a="http://schemas.openxmlformats.org/drawingml/2006/main" xmlns:pic="http://schemas.openxmlformats.org/drawingml/2006/picture">
            <wp:extent cx="5580000" cy="2827200"/>
            <wp:docPr id="18" name="Picture 18"/>
            <wp:cNvGraphicFramePr>
              <a:graphicFrameLocks noChangeAspect="1"/>
            </wp:cNvGraphicFramePr>
            <a:graphic>
              <a:graphicData uri="http://schemas.openxmlformats.org/drawingml/2006/picture">
                <pic:pic>
                  <pic:nvPicPr>
                    <pic:cNvPr id="0" name="rede_humor.png"/>
                    <pic:cNvPicPr/>
                  </pic:nvPicPr>
                  <pic:blipFill>
                    <a:blip r:embed="rId26"/>
                    <a:stretch>
                      <a:fillRect/>
                    </a:stretch>
                  </pic:blipFill>
                  <pic:spPr>
                    <a:xfrm>
                      <a:off x="0" y="0"/>
                      <a:ext cx="5580000" cy="2827200"/>
                    </a:xfrm>
                    <a:prstGeom prst="rect"/>
                  </pic:spPr>
                </pic:pic>
              </a:graphicData>
            </a:graphic>
          </wp:inline>
        </w:drawing>
      </w:r>
    </w:p>
    <w:p>
      <w:pPr>
        <w:jc w:val="center"/>
      </w:pPr>
      <w:r>
        <w:rPr>
          <w:sz w:val="22"/>
        </w:rPr>
        <w:t>Figura 18 – Redes de correlações parciais (modelo gráfico gaussiano) das seis dimensões do BRUMS no dia descansado (Dia 1) e no dia de maior carga (Dia 7). Arestas vermelhas: associação parcial positiva; azuis: negativa; a espessura é proporcional à magnitude. Vigor e fadiga destacados em laranja.</w:t>
      </w:r>
    </w:p>
    <w:p>
      <w:pPr>
        <w:spacing w:after="120"/>
        <w:jc w:val="center"/>
      </w:pPr>
      <w:r>
        <w:rPr>
          <w:sz w:val="18"/>
        </w:rPr>
        <w:t>Fonte: elaboração dos autores (2026).</w:t>
      </w:r>
    </w:p>
    <w:p>
      <w:pPr>
        <w:spacing w:line="360" w:lineRule="auto" w:after="120"/>
        <w:ind w:firstLine="709"/>
        <w:jc w:val="both"/>
      </w:pPr>
      <w:r>
        <w:rPr>
          <w:b w:val="0"/>
          <w:sz w:val="24"/>
        </w:rPr>
        <w:t>A rede psicométrica das seis dimensões (Figura 18) tornou explícita a reorganização do humor sob carga. A mudança foi seletiva, e não global: a força total da rede não aumentou do dia descansado ao dia de maior carga (5,11 → 3,48; teste de permutação p = = 0,244), mas a aresta entre fadiga e raiva, quase nula no início da semana, tornou-se a mais forte do painel ao final (correlação parcial -0,12 → +0,48). Em outras palavras, sob carga acumulada, é especificamente a irritabilidade que se acopla à exaustão — refinamento que a leitura por correlações simples não isola e que traduz, no plano da rede, o “fechamento” do perfil de fadiga.</w:t>
      </w:r>
    </w:p>
    <w:p>
      <w:pPr>
        <w:spacing w:line="360" w:lineRule="auto" w:after="120"/>
        <w:ind w:firstLine="709"/>
        <w:jc w:val="both"/>
      </w:pPr>
      <w:r>
        <w:rPr>
          <w:b w:val="0"/>
          <w:sz w:val="24"/>
        </w:rPr>
        <w:t>Como verificação de robustez que respeita a natureza ordinal e limitada das subescalas, um modelo de odds proporcionais reproduziu o padrão central sem pressupor normalidade. O efeito agudo pré→pós manteve-se nítido — a chance de estar num tercil superior de fadiga mais que dobrou do pré ao pós (OR = 2,25; IC95% 1,43–3,53), enquanto a de vigor caiu na mesma transição (OR = 0,61; IC95% 0,39–0,95) —, e o efeito crônico do dia permaneceu significativo para o vigor (OR = 0,88 por dia; IC95% 0,79–0,99) e no limiar da significância para a fadiga (OR = 1,11; p = = 0,085). A convergência entre o modelo contínuo, o bayesiano e o ordinal reforça que a deterioração do eixo energia–fadiga não é artefato da escala de medida.</w:t>
      </w:r>
    </w:p>
    <w:p>
      <w:pPr>
        <w:spacing w:before="120" w:after="80" w:line="360" w:lineRule="auto"/>
      </w:pPr>
      <w:r>
        <w:rPr>
          <w:b/>
          <w:sz w:val="24"/>
        </w:rPr>
        <w:t>3.16 Classificação individual por mudança confiável (MDC)</w:t>
      </w:r>
    </w:p>
    <w:p>
      <w:pPr>
        <w:spacing w:before="160" w:after="40"/>
      </w:pPr>
      <w:r>
        <w:rPr>
          <w:sz w:val="22"/>
        </w:rPr>
        <w:t>Tabela 20 – Classificação dos atletas pela mudança confiável (Δ Dia 1 → Dia 7 acima da MDC90) no vigor e na fadiga.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Desfecho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Melhora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Piora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Com mudança confiável</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8/21</w:t>
            </w:r>
          </w:p>
        </w:tc>
      </w:tr>
    </w:tbl>
    <w:p>
      <w:pPr>
        <w:spacing w:after="0"/>
      </w:pPr>
      <w:r>
        <w:rPr>
          <w:i/>
          <w:sz w:val="17"/>
        </w:rPr>
        <w:t>Mudança confiável = |Δ| &gt; MDC90 (vigor 5,3; fadiga 5,9 pontos). Piora = queda de vigor ou elevação de fadiga acima da MDC. n = 21 atletas com medidas completas no Dia 1 e no Dia 7.</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3050400"/>
            <wp:docPr id="19" name="Picture 19"/>
            <wp:cNvGraphicFramePr>
              <a:graphicFrameLocks noChangeAspect="1"/>
            </wp:cNvGraphicFramePr>
            <a:graphic>
              <a:graphicData uri="http://schemas.openxmlformats.org/drawingml/2006/picture">
                <pic:pic>
                  <pic:nvPicPr>
                    <pic:cNvPr id="0" name="mdc_individual.png"/>
                    <pic:cNvPicPr/>
                  </pic:nvPicPr>
                  <pic:blipFill>
                    <a:blip r:embed="rId27"/>
                    <a:stretch>
                      <a:fillRect/>
                    </a:stretch>
                  </pic:blipFill>
                  <pic:spPr>
                    <a:xfrm>
                      <a:off x="0" y="0"/>
                      <a:ext cx="5580000" cy="3050400"/>
                    </a:xfrm>
                    <a:prstGeom prst="rect"/>
                  </pic:spPr>
                </pic:pic>
              </a:graphicData>
            </a:graphic>
          </wp:inline>
        </w:drawing>
      </w:r>
    </w:p>
    <w:p>
      <w:pPr>
        <w:jc w:val="center"/>
      </w:pPr>
      <w:r>
        <w:rPr>
          <w:sz w:val="22"/>
        </w:rPr>
        <w:t>Figura 19 – Mudança individual do vigor e da fadiga (Δ Dia 1 → Dia 7) por atleta, ordenada. A faixa cinza central corresponde à mudança mínima detectável (MDC90); barras fora dela indicam mudança confiável — verde: melhora; vermelho: piora; cinza: dentro do erro de medida.</w:t>
      </w:r>
    </w:p>
    <w:p>
      <w:pPr>
        <w:spacing w:after="120"/>
        <w:jc w:val="center"/>
      </w:pPr>
      <w:r>
        <w:rPr>
          <w:sz w:val="18"/>
        </w:rPr>
        <w:t>Fonte: elaboração dos autores (2026).</w:t>
      </w:r>
    </w:p>
    <w:p>
      <w:pPr>
        <w:spacing w:line="360" w:lineRule="auto" w:after="120"/>
        <w:ind w:firstLine="709"/>
        <w:jc w:val="both"/>
      </w:pPr>
      <w:r>
        <w:rPr>
          <w:b w:val="0"/>
          <w:sz w:val="24"/>
        </w:rPr>
        <w:t>A aplicação do critério de mudança confiável ao nível individual (Tabela 20; Figura 19) matiza o achado de grupo. Embora a equipe tenha derivado no eixo energia–fadiga, a maioria dos atletas manteve-se, individualmente, dentro do erro de medida: apenas 8 dos 21 apresentaram queda de vigor superior à MDC e 7, elevação de fadiga acima dela. Um subconjunto restrito — 3 atletas — reuniu simultaneamente queda confiável de vigor e elevação confiável de fadiga, que representa a assinatura individual mais nítida de sobre-esforço e o grupo que mais claramente demandaria atenção da comissão técnica. Esse contraste entre a resposta média do grupo e a heterogeneidade individual — coerente com a dispersão das inclinações estimada pelo modelo bayesiano — ilustra por que o monitoramento aplicado deve combinar a tendência coletiva com a leitura, atleta a atleta, das mudanças que excedem o erro de medida.</w:t>
      </w:r>
    </w:p>
    <w:p>
      <w:pPr>
        <w:spacing w:before="200" w:after="80" w:line="360" w:lineRule="auto"/>
      </w:pPr>
      <w:r>
        <w:rPr>
          <w:b/>
          <w:sz w:val="24"/>
        </w:rPr>
        <w:t>4 DISCUSSÃO</w:t>
      </w:r>
    </w:p>
    <w:p>
      <w:pPr>
        <w:spacing w:line="360" w:lineRule="auto" w:after="120"/>
        <w:ind w:firstLine="709"/>
        <w:jc w:val="both"/>
      </w:pPr>
      <w:r>
        <w:rPr>
          <w:b w:val="0"/>
          <w:sz w:val="24"/>
        </w:rPr>
        <w:t>O presente estudo caracterizou o comportamento do humor de handebolistas de elite ao longo da última semana de pré-temporada, e o achado central é inequívoco: a deterioração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Essa seletividade não é acidental: ao acompanhar nadadores ao longo de uma temporada de 24 semanas, Pierce (2002) verificou que o vigor e a fadiga acompanharam o volume de treino (r = −0,54 e r = +0,53, respectivamente), ao passo que tensão, depressão, confusão e a perturbação global permaneceram insensíveis — resultado que replica, em outra modalidade e em outra escala temporal, o mesmo eixo de resposta aqui identificado e reforça a leitura de que o par vigor–fadiga constitui o núcleo informativo do painel de humor sob carga.</w:t>
      </w:r>
    </w:p>
    <w:p>
      <w:pPr>
        <w:spacing w:line="360" w:lineRule="auto" w:after="120"/>
        <w:ind w:firstLine="709"/>
        <w:jc w:val="both"/>
      </w:pPr>
      <w:r>
        <w:rPr>
          <w:b w:val="0"/>
          <w:sz w:val="24"/>
        </w:rPr>
        <w:t>Para além de confirmar a deterioração, os resultados detalham a sua dinâmica temporal — o “quando”, tão relevante para a prática. O humor mais positivo concentrou-se no início da semana (vigor máximo no Dia 1) e a fadiga acumulou-se progressivamente até o pico no último dia (Dia 7), acompanhada da raiva e da Perturbação Total do Humor. Sobrepõem-se dois processos: um choque agudo intra-sessão, em que o vigor cai e a fadiga sobe do pré ao pós a cada treino, e um acúmulo ao longo da semana, que desloca o eixo energia–fadiga rumo ao final do microciclo — como evidenciado pelo pós-teste, em que os dias finais diferem significativamente do Dia 1. Essa leitura temporal é diretamente acionável: sinaliza que o reforço da recuperação deve concentrar-se na transição do início da semana (choque de carga) e no encerramento do microciclo (fadiga acumulada), pontos em que o estado psicofisiológico é mais desfavorável.</w:t>
      </w:r>
    </w:p>
    <w:p>
      <w:pPr>
        <w:spacing w:line="360" w:lineRule="auto" w:after="120"/>
        <w:ind w:firstLine="709"/>
        <w:jc w:val="both"/>
      </w:pPr>
      <w:r>
        <w:rPr>
          <w:b w:val="0"/>
          <w:sz w:val="24"/>
        </w:rPr>
        <w:t>Um aspecto metodológico distingue este estudo da tradição descritiva do perfilamento do humor. A literatura clássica caracteriza o humor de atletas por instantâneos — o perfil de um momento — ou, quando muito, por comparações de médias entre condições (LOCHBAUM et al., 2021). Aqui, ao ajustar uma função polinomial às trajetórias diárias e dela extrair as derivadas, passou-se de uma descrição estática para uma leitura dinâmica e quantitativa do humor, na linha do que Cockerill, Nevill e Lyons (1991) propuseram ao modelar estados de humor com finalidade prescritiva, e não apenas descritiva. A derivada primeira quantifica a velocidade da deterioração e a derivada segunda localiza o momento em que essa velocidade deixa de acelerar (inflexão em torno do Dia 4) e oferece à comissão técnica não apenas o quanto, mas o ritmo e a aceleração do desgaste — informação alinhada ao papel do monitoramento do humor como indicador precoce de sobrecarga e de excesso de treinamento (FEIJEN et al., 2020; NEDERHOF et al., 2007) e à dinâmica dia-a-dia entre carga de treino e humor descrita em outras modalidades (HAMLIN et al., 2019; ALFONSO; CAPDEVILA, 2022). A decomposição sinal–ruído, por sua vez, agrega rigor à interpretação: ao mostrar que o vigor e a fadiga são quase inteiramente sinal, ao passo que as dimensões negativas próximas do piso são dominadas por ruído, ela fundamenta quantitativamente a decisão de centrar o monitoramento no eixo energia–fadiga e de não sobreinterpretar as pequenas oscilações das demais subescalas — uma resposta direta às conhecidas limitações de fidedignidade e de efeito de piso dessas dimensões em amostras de elite (TERRY; LANE; FOGARTY, 2003). Por fim, o cruzamento energia–fadiga, obtido das curvas suavizadas, condensa em um único marcador visual e objetivo o instante em que a fadiga supera o vigor — evento que o acompanhamento diário isolado dificilmente tornaria tão explícito.</w:t>
      </w:r>
    </w:p>
    <w:p>
      <w:pPr>
        <w:spacing w:line="360" w:lineRule="auto" w:after="120"/>
        <w:ind w:firstLine="709"/>
        <w:jc w:val="both"/>
      </w:pPr>
      <w:r>
        <w:rPr>
          <w:b w:val="0"/>
          <w:sz w:val="24"/>
        </w:rPr>
        <w:t>A esse arcabouço somam-se três recursos estatísticos que raramente comparecem à literatura de monitoramento do humor e que reforçam a solidez das conclusões. O modelo bayesiano multinível é o mais consequente: ao dissociar formalmente a componente aguda da crônica com trajetórias por atleta, ele confere intervalos de credibilidade estáveis mesmo com amostra reduzida — onde a máxima verossimilhança encontra dificuldade de convergência — e devolve duas leituras que a análise agregada oculta. A primeira é a partição da variância: o vigor mostrou-se mais um traço (elevada variância entre atletas) e a fadiga, mais um estado (variância sobretudo intraindividual), distinção com consequências diretas para o que cada dimensão sinaliza no monitoramento. A segunda é a heterogeneidade das inclinações: embora o grupo derive na mesma direção, a velocidade da deterioração varia de atleta para atleta, o que fundamenta quantitativamente a vigilância individualizada e dialoga com a recomendação de referências personalizadas no acompanhamento do atleta (McELREATH, 2020; SAW; MAIN; GASTIN, 2016). A rede psicométrica, por sua vez, precisa a natureza da reorganização afetiva: não houve adensamento global da rede, mas um acoplamento seletivo entre fadiga e irritabilidade ao fim da semana, leitura que as correlações par a par não isolam e que a análise de redes tornou central no estudo do afeto (EPSKAMP; FRIED, 2018). Por fim, a convergência com o modelo ordinal de odds proporcionais — que não pressupõe normalidade e respeita o efeito-piso das subescalas — afasta a hipótese de que a deterioração observada seja artefato da escala de medida (LIDDELL; KRUSCHKE, 2018). Em conjunto, essas abordagens elevam o rigor inferencial de um desenho de amostra pequena e ilustram um repertório analítico transferível ao monitoramento intramicrociclo em outros contextos de rendimento.</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tanto a deterioração do eixo energia–fadiga quanto a migração do perfil de humor observadas, e esclarece por que o vigor e a fadiga foram as dimensões mais sensíveis do painel. A pertinência do humor como via de monitoramento no handebol de elite encontra respaldo adicional em investigação de larga escala com centenas de jogadores de alto nível, na qual o estado de humor, combinado à percepção de estresse e a marcadores endócrinos, compôs um arcabouço multidomínio de acompanhamento (RATZ-SULYOK et al., 2026) — moldura em que os presentes achados se inserem ao detalhar, em alta resolução temporal, a face afetiva dessa resposta ao longo de um microciclo.</w:t>
      </w:r>
    </w:p>
    <w:p>
      <w:pPr>
        <w:spacing w:line="360" w:lineRule="auto" w:after="120"/>
        <w:ind w:firstLine="709"/>
        <w:jc w:val="both"/>
      </w:pPr>
      <w:r>
        <w:rPr>
          <w:b w:val="0"/>
          <w:sz w:val="24"/>
        </w:rPr>
        <w:t>Um achado de particular interesse foi a natureza dependente da carga na relação entre o afeto negativo e a fadiga. No dia de maior vigor (Dia 1, grupo descansado), as dimensões negativas mostraram-se praticamente independentes da fadiga (depressão × fadiga ρ = +0,38; raiva × fadiga ρ = +0,18); no dia de maior fadiga (Dia 7), esse acoplamento tornou-se forte (depressão × fadiga ρ = +0,76; raiva × fadiga ρ = +0,65). Em outras palavras, quando a equipe está recuperada, o atleta mais irritado ou abatido não é necessariamente o mais cansado; sob carga acumulada, porém, a irritabilidade e o abatimento organizam-se em torno da exaustão e o perfil de humor “fecha”. Esse padrão indica que a interpretação das dimensões negativas deve considerar o estado de fadiga do grupo, e que a elevação conjunta de afeto negativo e fadiga ao fim de um microciclo intenso é, em atletas de elite, uma resposta esperada à carga, e não necessariamente sinal de desajuste.</w:t>
      </w:r>
    </w:p>
    <w:p>
      <w:pPr>
        <w:spacing w:line="360" w:lineRule="auto" w:after="120"/>
        <w:ind w:firstLine="709"/>
        <w:jc w:val="both"/>
      </w:pPr>
      <w:r>
        <w:rPr>
          <w:b w:val="0"/>
          <w:sz w:val="24"/>
        </w:rPr>
        <w:t>No plano dos perfis de humor, o deslocamento de prevalência do iceberg (prontidão) para a barbatana de tubarão (fadiga funcional) ao longo da semana — que a regressão logística de tendência confirmou para o perfil de barbatana de tubarão, cuja chance cresceu cerca de 37% por dia (OR = 1,37 por dia; IC95% exclui 1), ainda que a via categórica do qui-quadrado, de menor potência, não a tenha detectado — reproduz, em um microciclo de handebol, o “derretimento do iceberg” descrito na literatura de sobrecarga (MORGAN, 1985; HAN; PARSONS-SMITH; TERRY, 2020).</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A concentração da resposta no eixo energético — e não nas dimensões de valência emocional — respalda essa leitura: a perturbação nasceu da carga física e da restauração incompleta entre as sessões. O acoplamento crescente entre o afeto negativo e a fadiga, do primeiro ao último dia, acompanha essa transição de um estado diferenciado para um estado integrado de estresse, no qual as respostas afetivas convergem sob um substrato central comum. Convém sublinhar que essa via afetiva não é redundante com a leitura fisiológica: evidência recente mostra que, sob treino intensificado, a perturbação do humor pode persistir mesmo quando marcadores biológicos já retornaram à linha de base, dissociação que expõe assincronia entre a recuperação psicológica e a fisiológica (OSTAPIUK-KAROLCZUK et al., 2025). Tal descompasso legitima o humor como sentinela independente da fadiga — capaz de sinalizar o custo do esforço quando os índices periféricos já se normalizaram — e justifica ancorar o monitoramento no eixo energia–fadiga.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FERREIRA et al., 2026)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acompanham o humor em alta resolução dentro de um único microciclo — com medidas duas vezes ao dia que separam a resposta aguda do acúmulo crônico —, que modelam a trajetória de forma contínua em uma modalidade coletiva de invasão de elevada demanda física e emocional. É precisamente nesse ponto que residem as contribuições originais deste estudo, cada qual voltada a uma face da lacuna. Primeiro, a resolução temporal: a coleta duas vezes ao dia dissocia o choque agudo intrassessão do acúmulo semanal, distinção que o instantâneo pré-competitivo e as comparações entre fases distantes não alcançam. Segundo, a passagem da descrição à modelagem: ao ajustar uma função contínua às trajetórias e dela extrair as derivadas, o estudo quantifica a velocidade e a aceleração da deterioração e localiza o cruzamento vigor–fadiga — indo além do perfilamento estático que domina a literatura. Terceiro, a decomposição sinal–ruído, que fundamenta de forma objetiva a decisão de centrar o monitoramento no eixo energia–fadiga e de não sobreinterpretar as demais subescalas. Quarto, a formalização da migração de perfis por regressão logística de tendência, que traduz em uma medida de risco o “derretimento do iceberg” até aqui descrito apenas qualitativamente. Em conjunto, essas quatro frentes convertem o monitoramento do humor de um retrato pontual em uma leitura dinâmica, quantitativa e acionável, e sinalizam um caminho para o acompanhamento intramicrociclo em esportes de rendimento.</w:t>
      </w:r>
    </w:p>
    <w:p>
      <w:pPr>
        <w:spacing w:line="360" w:lineRule="auto" w:after="120"/>
        <w:ind w:firstLine="709"/>
        <w:jc w:val="both"/>
      </w:pPr>
      <w:r>
        <w:rPr>
          <w:b w:val="0"/>
          <w:sz w:val="24"/>
        </w:rPr>
        <w:t>Algumas limitações delimitam o alcance dos achados. A primeira, e mais importante, é o tamanho amostral (27 atletas), associado a uma única equipe e a um único microciclo: o desenho observacional de fase única não autoriza inferência causal sobre a carga, e a generalização a outras equipes, categorias, sexos e momentos da temporada permanece a confirmar. A segunda diz respeito às dimensões negativas do humor, próximas do piso, com variância e fidedignidade reduzidas — o que limita a leitura das suas pequenas oscilações e restringe a interpretação da parte da rede que as envolve. A terceira é que a conversão dos escores T foi referenciada à própria amostra, e não a tabelas normativas nacionais de atletas, o que recomenda cautela na comparação absoluta de prevalências entre estudos e na classificação estrita dos perfis. Some-se que a inferência no nível individual esbarra no erro de medida: como a mudança mínima detectável é ampla, apenas variações individuais expressivas podem ser afirmadas com segurança. Por fim, parte das análises — a rede psicométrica e o modelo ordinal — tem caráter exploratório e valor sobretudo gerador de hipóteses, dado o número de observações.</w:t>
      </w:r>
    </w:p>
    <w:p>
      <w:pPr>
        <w:spacing w:line="360" w:lineRule="auto" w:after="120"/>
        <w:ind w:firstLine="709"/>
        <w:jc w:val="both"/>
      </w:pPr>
      <w:r>
        <w:rPr>
          <w:b w:val="0"/>
          <w:sz w:val="24"/>
        </w:rPr>
        <w:t>Essas limitações, contudo, são atenuadas por características do desenho e da análise, o que preserva a validade dos achados centrais. A medição duas vezes ao dia gerou 286 observações e permitiu dissociar a resposta aguda do acúmulo crônico; a auditoria de robustez (remoção de atípicos por distância de Mahalanobis) não alterou as conclusões; o modelo bayesiano forneceu intervalos de credibilidade estáveis justamente onde a máxima verossimilhança vacila em amostras pequenas; e a convergência entre o modelo contínuo, o bayesiano e o ordinal indica que a deterioração do eixo energia–fadiga não é artefato de uma escolha analítica particular. Em conjunto, o achado central sustenta-se apesar do tamanho amostral, ainda que a sua extensão a outros contextos dependa de replicação. Como direções futuras, recomenda-se ampliar a amostra e acompanhar múltiplos microciclos, integrar o humor a marcadores de carga externa e interna mensurados continuamente, adotar tabelas normativas e agrupamento semeado (seeded k-means) para a classificação de perfis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o humor dos handebolistas transitou da prontidão para a fadiga: o vigor recuou e a fadiga avançou, do primeiro ao último dia e no interior de cada sessão, com confirmação pelas comparações entre todos os dias e pela análise multivariada. A modelagem das trajetórias situou o cruzamento entre vigor e fadiga na metade da semana e restringiu o sinal robusto ao eixo energia–fadiga, ao passo que as demais dimensões, próximas do piso, pouco informaram. O conjunto — deterioração limitada ao eixo energético, sem instalação dos perfis de risco à saúde mental e sem instalação dos perfis de maior risco à saúde mental — corresponde a um sobre-esforço funcional, ou seja, a uma fadiga esperada e reversível, própria de uma fase de acumulação. A migração do perfil iceberg para o de barbatana de tubarão, confirmada por regressão logística de tendência, e o cruzamento entre vigor e fadiga sintetizam essa dinâmica. Recomenda-se, portanto, o acompanhamento contínuo do humor na pré-temporada, com atenção primordial ao eixo energia–fadiga e à sua restauração na transição para o afinamento.</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os correlatos fisiológicos e de bem-estar da resposta de humor — foi submetido a outro periódico; ambos se citam mutuamente.</w:t>
      </w:r>
    </w:p>
    <w:p>
      <w:pPr>
        <w:spacing w:before="200" w:after="80" w:line="360" w:lineRule="auto"/>
      </w:pPr>
      <w:r>
        <w:rPr>
          <w:b/>
          <w:sz w:val="24"/>
        </w:rPr>
        <w:t>REFERÊNCIAS</w:t>
      </w:r>
    </w:p>
    <w:p>
      <w:pPr>
        <w:spacing w:line="360" w:lineRule="auto" w:after="120"/>
        <w:jc w:val="both"/>
      </w:pPr>
      <w:r>
        <w:rPr>
          <w:sz w:val="22"/>
        </w:rPr>
        <w:t>ALFONSO, C.; CAPDEVILA, L. Heart rate variability, mood and performance: a pilot study on the interrelation of these variables in amateur road cyclists. PeerJ, v. 10, e13094, 2022. DOI: 10.7717/peerj.13094.</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COCKERILL, I. M.; NEVILL, A. M.; LYONS, N. Modelling mood states in athletic performance. Journal of Sports Sciences, v. 9, n. 2, p. 205–212, 1991. DOI: 10.1080/02640419108729881.</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EPSKAMP, S.; FRIED, E. I. A tutorial on regularized partial correlation networks. Psychological Methods, v. 23, n. 4, p. 617–634, 2018. DOI: 10.1037/met0000167.</w:t>
      </w:r>
    </w:p>
    <w:p>
      <w:pPr>
        <w:spacing w:line="360" w:lineRule="auto" w:after="120"/>
        <w:jc w:val="both"/>
      </w:pPr>
      <w:r>
        <w:rPr>
          <w:sz w:val="22"/>
        </w:rPr>
        <w:t>FEIJEN, S. et al. Monitoring the swimmer’s training load: a narrative review of monitoring strategies applied in research. Scandinavian Journal of Medicine &amp; Science in Sports, v. 30, n. 11, p. 2037–2043, 2020. DOI: 10.1111/sms.13798.</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HAMLIN, M. J. et al. Monitoring training loads and perceived stress in young elite university athletes. Frontiers in Physiology, v. 10, 34, 2019. DOI: 10.3389/fphys.2019.00034.</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LIDDELL, T. M.; KRUSCHKE, J. K. Analyzing ordinal data with metric models: what could possibly go wrong? Journal of Experimental Social Psychology, v. 79, p. 328–348, 2018. DOI: 10.1016/j.jesp.2018.08.009.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McELREATH, R. Statistical rethinking: a Bayesian course with examples in R and Stan. 2. ed. Boca Raton: CRC Press, 2020.</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NEDERHOF, E. et al. Different diagnostic tools in nonfunctional overreaching. International Journal of Sports Medicine, v. 29, n. 7, p. 590–597, 2007. DOI: 10.1055/s-2007-989264.</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