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PERFIL DE HUMOR DE ATLETAS DE HANDEBOL DE ELITE NA ÚLTIMA SEMANA DE PRÉ-TEMPORADA: ANÁLISE DESCRITIVA, COMPARATIVA E DE CORRELAÇÃO DAS VARIÁVEIS DO BRUMS</w:t>
      </w:r>
    </w:p>
    <w:p>
      <w:pPr>
        <w:spacing w:before="200" w:after="80" w:line="360" w:lineRule="auto"/>
      </w:pPr>
      <w:r>
        <w:rPr>
          <w:b/>
          <w:sz w:val="24"/>
        </w:rPr>
        <w:t>RESUMO</w:t>
      </w:r>
    </w:p>
    <w:p>
      <w:pPr>
        <w:spacing w:line="360" w:lineRule="auto" w:after="160"/>
        <w:ind w:firstLine="709"/>
        <w:jc w:val="both"/>
      </w:pPr>
      <w:r>
        <w:rPr>
          <w:b w:val="0"/>
          <w:sz w:val="24"/>
        </w:rPr>
        <w:t>Objetivo: avaliar o perfil de humor de atletas de handebol de elite na última semana de pré-temporada, descrevendo e comparando o comportamento das variáveis do BRUMS no grupo e no sujeito. Método: estudo descritivo de medidas repetidas com 27 atletas, 456 observações do BRUMS-24 em sete dias, duas coletas/dia (pré e pós-treino). Analisou-se o comportamento geral, a resposta pré→pós, o padrão diário e intra-dia, a estrutura de correlação entre as subescalas e a classificação nos seis perfis de humor, com percentuais, intervalos de confiança e tamanhos de efeito. Resultados: a deterioração concentra-se no eixo energia–fadiga — do pré ao pós o vigor cai 19% (dz = -0,74) e a fadiga sobe 34% (dz = 0,60); do Dia 1 ao Dia 7 o vigor recua com efeito grande (dz = -0,95). As subescalas negativas comportam-se de modo próprio: a raiva atinge o máximo no dia mais fadigado (D7), a depressão tem pico intermediário e a confusão e a tensão decrescem. Notavelmente, o acoplamento das negativas com a fadiga é fraco no dia de maior vigor (D1) e forte no dia de maior fadiga (D7: depressão ρ = +0,75; raiva ρ = +0,64). O perfil iceberg cai de 40% para 17% e o de fadiga (barbatana de tubarão) sobe de 2% para 28%. Conclusão: o humor migra da prontidão para a fadiga funcional, e o afeto negativo consolida-se com a fadiga apenas quando a carga se acumula.</w:t>
      </w:r>
    </w:p>
    <w:p>
      <w:pPr>
        <w:spacing w:before="200" w:after="80" w:line="360" w:lineRule="auto"/>
      </w:pPr>
      <w:r>
        <w:rPr>
          <w:b/>
          <w:sz w:val="24"/>
        </w:rPr>
        <w:t>1 INTRODUÇÃO</w:t>
      </w:r>
    </w:p>
    <w:p>
      <w:pPr>
        <w:spacing w:line="360" w:lineRule="auto" w:after="120"/>
        <w:ind w:firstLine="709"/>
        <w:jc w:val="both"/>
      </w:pPr>
      <w:r>
        <w:rPr>
          <w:b w:val="0"/>
          <w:sz w:val="24"/>
        </w:rPr>
        <w:t>O monitoramento dos estados de humor consolidou-se como uma das estratégias mais práticas, econômicas e não invasivas para acompanhar a resposta de atletas à carga de treino e para sinalizar precocemente a fadiga acumulada e o risco de excesso de treino. Em revisão sistemática, medidas subjetivas de bem-estar rastrearam a carga aguda e crônica com sensibilidade e consistência superiores às de marcadores objetivos, o que sustenta o uso rotineiro de escalas de humor no esporte de rendimento (SAW; MAIN; GASTIN, 2016).</w:t>
      </w:r>
    </w:p>
    <w:p>
      <w:pPr>
        <w:spacing w:line="360" w:lineRule="auto" w:after="120"/>
        <w:ind w:firstLine="709"/>
        <w:jc w:val="both"/>
      </w:pPr>
      <w:r>
        <w:rPr>
          <w:b w:val="0"/>
          <w:sz w:val="24"/>
        </w:rPr>
        <w:t>A Brunel Mood Scale (BRUMS), derivada do Profile of Mood States e desenvolvida para uso rápido em contextos esportivos, mede seis dimensões — tensão, depressão, raiva, vigor, fadiga e confusão — e é um dos instrumentos de humor mais utilizados na ciência do esporte, com propriedades psicométricas sólidas e validações transculturais sucessivas (TERRY et al., 1999; TERRY; LANE; FOGARTY, 2003; ROHLFS et al., 2008; LEW et al., 2023). Mais do que escores isolados, o humor pode ser lido como um perfil integrado: Morgan (1985) descreveu o “perfil iceberg” — vigor elevado sobre dimensões negativas baixas — como marca de prontidão e saúde mental, e trabalhos recentes formalizaram seis perfis prototípicos (iceberg, Everest invertido, iceberg invertido, submerso, barbatana de tubarão e superfície), hoje amplamente empregados no rastreamento do estado psicológico e da prontidão de atletas (PARSONS-SMITH; TERRY; MACHIN, 2017; TERRY et al., 2021; TAN et al., 2024). Metanálises confirmam a relação entre a perturbação do humor e o desempenho esportivo, reforçando o valor aplicado do constructo (LOCHBAUM et al., 2021).</w:t>
      </w:r>
    </w:p>
    <w:p>
      <w:pPr>
        <w:spacing w:line="360" w:lineRule="auto" w:after="120"/>
        <w:ind w:firstLine="709"/>
        <w:jc w:val="both"/>
      </w:pPr>
      <w:r>
        <w:rPr>
          <w:b w:val="0"/>
          <w:sz w:val="24"/>
        </w:rPr>
        <w:t>O handebol de quadra é uma modalidade coletiva intermitente de alta intensidade: o jogo alterna, de forma imprevisível, esforços máximos e explosivos — sprints, saltos, arremessos, mudanças de direção, contatos — com períodos de recuperação incompleta, exigindo simultaneamente potência anaeróbia, capacidade aeróbia intermitente e tolerância à fadiga (KARCHER; BUCHHEIT, 2014; WAGNER et al., 2014). As demandas variam com a posição tática, e indícios de fadiga já foram documentados pela queda do volume de corrida em alta intensidade ao longo da partida (MICHALSIK; MADSEN; AAGAARD, 2013). Esse perfil de esforço torna a carga interna particularmente elevada nos microciclos de acúmulo, com repercussão direta sobre o estado afetivo dos atletas — em handebolistas de elite, o humor e o estresse associam-se a marcadores de sobrecarga fisiológica e psicossomática (RATZ-SULYOK et al., 2026).</w:t>
      </w:r>
    </w:p>
    <w:p>
      <w:pPr>
        <w:spacing w:line="360" w:lineRule="auto" w:after="120"/>
        <w:ind w:firstLine="709"/>
        <w:jc w:val="both"/>
      </w:pPr>
      <w:r>
        <w:rPr>
          <w:b w:val="0"/>
          <w:sz w:val="24"/>
        </w:rPr>
        <w:t>A resposta afetiva à carga, contudo, não é estática: em fases de redução de carga a fadiga percebida decresce e o desempenho melhora, ao passo que, em microciclos de acúmulo, espera-se o movimento inverso — vigor em queda e fadiga em ascensão. A última semana de pré-temporada concentra a carga que antecede a competição e constitui, portanto, uma janela crítica para observar como cada dimensão do humor se comporta ao longo dos dias e dentro de cada dia de treino, e como as dimensões se relacionam entre si — em particular, se e quando o afeto negativo (depressão, raiva, confusão) passa a acompanhar a fadiga. Descrever e comparar esse comportamento, do nível do grupo ao nível do sujeito, fornece à comissão técnica informação individualizada e diretamente acionável.</w:t>
      </w:r>
    </w:p>
    <w:p>
      <w:pPr>
        <w:spacing w:before="200" w:after="80" w:line="360" w:lineRule="auto"/>
      </w:pPr>
      <w:r>
        <w:rPr>
          <w:b/>
          <w:sz w:val="24"/>
        </w:rPr>
        <w:t>2 JUSTIFICATIVA</w:t>
      </w:r>
    </w:p>
    <w:p>
      <w:pPr>
        <w:spacing w:line="360" w:lineRule="auto" w:after="120"/>
        <w:ind w:firstLine="709"/>
        <w:jc w:val="both"/>
      </w:pPr>
      <w:r>
        <w:rPr>
          <w:b w:val="0"/>
          <w:sz w:val="24"/>
        </w:rPr>
        <w:t>Descrever e classificar o perfil de humor na semana pré-competitiva, com estatística comparativa robusta (variação percentual, intervalos de confiança e tamanho de efeito), permite separar o que é sinal de deterioração real do que é apenas flutuação, distinguir uma fadiga funcional de treino de uma deterioração afetiva mais ampla e identificar quais dimensões e quais dias concentram a maior sensibilidade. Compreender, ainda, a estrutura de correlação entre as subescalas — especialmente nos dias de maior vigor e de maior fadiga — esclarece se o afeto negativo é independente da fadiga ou se com ela se consolida, o que tem implicação direta para a interpretação dos escores no monitoramento diário e para a individualização da recuperação.</w:t>
      </w:r>
    </w:p>
    <w:p>
      <w:pPr>
        <w:spacing w:before="200" w:after="80" w:line="360" w:lineRule="auto"/>
      </w:pPr>
      <w:r>
        <w:rPr>
          <w:b/>
          <w:sz w:val="24"/>
        </w:rPr>
        <w:t>3 OBJETIVO</w:t>
      </w:r>
    </w:p>
    <w:p>
      <w:pPr>
        <w:spacing w:line="360" w:lineRule="auto" w:after="120"/>
        <w:ind w:firstLine="709"/>
        <w:jc w:val="both"/>
      </w:pPr>
      <w:r>
        <w:rPr>
          <w:b w:val="0"/>
          <w:sz w:val="24"/>
        </w:rPr>
        <w:t>Avaliar o perfil de humor de atletas de handebol de elite na última semana de pré-temporada, descrevendo e comparando o comportamento das variáveis do BRUMS no grupo (geral, pré→pós, por dia e intra-dia), analisando a correlação entre as subescalas com ênfase nos dias de maior vigor e de maior fadiga, e classificando os perfis de humor — do nível do grupo ao nível do sujeito, com estimativas de variação percentual, intervalo de confiança e tamanho de efeito.</w:t>
      </w:r>
    </w:p>
    <w:p>
      <w:pPr>
        <w:spacing w:before="200" w:after="80" w:line="360" w:lineRule="auto"/>
      </w:pPr>
      <w:r>
        <w:rPr>
          <w:b/>
          <w:sz w:val="24"/>
        </w:rPr>
        <w:t>4 MÉTODO</w:t>
      </w:r>
    </w:p>
    <w:p>
      <w:pPr>
        <w:spacing w:before="200" w:after="80" w:line="360" w:lineRule="auto"/>
      </w:pPr>
      <w:r>
        <w:rPr>
          <w:b/>
          <w:sz w:val="24"/>
        </w:rPr>
        <w:t>4.1 Delineamento e amostra</w:t>
      </w:r>
    </w:p>
    <w:p>
      <w:pPr>
        <w:spacing w:line="360" w:lineRule="auto" w:after="120"/>
        <w:ind w:firstLine="709"/>
        <w:jc w:val="both"/>
      </w:pPr>
      <w:r>
        <w:rPr>
          <w:b w:val="0"/>
          <w:sz w:val="24"/>
        </w:rPr>
        <w:t>Estudo descritivo, longitudinal e observacional, de medidas repetidas intraindividuais, em condições ecológicas de treinamento. Participaram 27 atletas de handebol do sexo masculino de nível competitivo (Tabela 1), distribuídos nas posições da modalidade (Armador (11), Ala (9), Pivô (4), Goleiro (3)). O monitoramento ocorreu ao longo de sete dias consecutivos (21–27/04/2024), o microciclo pré-competitivo que antecede a competição, com duas aplicações do BRUMS por dia de treino — a primeira tomada como pré e a última como pós —, totalizando 456 observações válidas. A Figura 1 detalha o framework das coletas.</w:t>
      </w:r>
    </w:p>
    <w:p>
      <w:pPr>
        <w:spacing w:before="160" w:after="40"/>
      </w:pPr>
      <w:r>
        <w:rPr>
          <w:sz w:val="22"/>
        </w:rPr>
        <w:t>Tabela 1 – Caracterização sociodemográfica e antropométrica da amostra (n = 27): média, desvio-padrão, IC95% e amplitude.</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20,5–23,5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179,8–185,2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79,3–92,3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9,4–13,8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na modalidade (anos)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9,0–12,0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3960000" cy="3816000"/>
            <wp:docPr id="1" name="Picture 1"/>
            <wp:cNvGraphicFramePr>
              <a:graphicFrameLocks noChangeAspect="1"/>
            </wp:cNvGraphicFramePr>
            <a:graphic>
              <a:graphicData uri="http://schemas.openxmlformats.org/drawingml/2006/picture">
                <pic:pic>
                  <pic:nvPicPr>
                    <pic:cNvPr id="0" name="xb2_framework.png"/>
                    <pic:cNvPicPr/>
                  </pic:nvPicPr>
                  <pic:blipFill>
                    <a:blip r:embed="rId9"/>
                    <a:stretch>
                      <a:fillRect/>
                    </a:stretch>
                  </pic:blipFill>
                  <pic:spPr>
                    <a:xfrm>
                      <a:off x="0" y="0"/>
                      <a:ext cx="3960000" cy="3816000"/>
                    </a:xfrm>
                    <a:prstGeom prst="rect"/>
                  </pic:spPr>
                </pic:pic>
              </a:graphicData>
            </a:graphic>
          </wp:inline>
        </w:drawing>
      </w:r>
    </w:p>
    <w:p>
      <w:pPr>
        <w:jc w:val="center"/>
      </w:pPr>
      <w:r>
        <w:rPr>
          <w:sz w:val="22"/>
        </w:rPr>
        <w:t>Figura 1 – Framework das coletas: da amostra e do microciclo às observações do BRUMS, às subescalas e à classificação de perfis.</w:t>
      </w:r>
    </w:p>
    <w:p>
      <w:pPr>
        <w:spacing w:after="120"/>
        <w:jc w:val="center"/>
      </w:pPr>
      <w:r>
        <w:rPr>
          <w:sz w:val="18"/>
        </w:rPr>
        <w:t>Fonte: elaboração dos autores (2026).</w:t>
      </w:r>
    </w:p>
    <w:p>
      <w:pPr>
        <w:spacing w:before="200" w:after="80" w:line="360" w:lineRule="auto"/>
      </w:pPr>
      <w:r>
        <w:rPr>
          <w:b/>
          <w:sz w:val="24"/>
        </w:rPr>
        <w:t>4.2 Instrumento</w:t>
      </w:r>
    </w:p>
    <w:p>
      <w:pPr>
        <w:spacing w:line="360" w:lineRule="auto" w:after="120"/>
        <w:ind w:firstLine="709"/>
        <w:jc w:val="both"/>
      </w:pPr>
      <w:r>
        <w:rPr>
          <w:b w:val="0"/>
          <w:sz w:val="24"/>
        </w:rPr>
        <w:t>O humor foi avaliado pela BRUMS-24, composta por 24 adjetivos respondidos em escala Likert de 0 (“nada”) a 4 (“extremamente”), organizados em seis subescalas de 0 a 16 pontos (tensão, depressão, raiva, vigor, fadiga e confusão). A Perturbação Total do Humor (PTH) resume o perfil em um índice único: PTH = tensão + depressão + raiva + fadiga + confusão − vigor. Os questionários foram autoaplicados por formulário eletrônico com carimbo de data/hora, tomando-se a primeira resposta do dia como pré e a última como pós.</w:t>
      </w:r>
    </w:p>
    <w:p>
      <w:pPr>
        <w:spacing w:before="200" w:after="80" w:line="360" w:lineRule="auto"/>
      </w:pPr>
      <w:r>
        <w:rPr>
          <w:b/>
          <w:sz w:val="24"/>
        </w:rPr>
        <w:t>4.3 Análise estatística</w:t>
      </w:r>
    </w:p>
    <w:p>
      <w:pPr>
        <w:spacing w:line="360" w:lineRule="auto" w:after="120"/>
        <w:ind w:firstLine="709"/>
        <w:jc w:val="both"/>
      </w:pPr>
      <w:r>
        <w:rPr>
          <w:b w:val="0"/>
          <w:sz w:val="24"/>
        </w:rPr>
        <w:t>Estatística descritiva de cada subescala e da PTH (média, mediana, desvio-padrão, intervalo de confiança de 95%, coeficiente de variação e amplitude), no geral, por dia e nos momentos pré e pós. As comparações pré→pós e Dia 1→Dia 7 usaram o teste de Wilcoxon pareado, reportando variação absoluta e percentual, tamanho de efeito pareado (dz de Cohen) com intervalo de confiança e classificação de magnitude (trivial &lt; 0,2; pequeno &lt; 0,5; médio &lt; 0,8; grande ≥ 0,8). A estrutura de associação entre as subescalas foi examinada por correlação de Spearman (matriz entre atletas e correlações diárias), com ênfase nos dias de maior vigor e de maior fadiga. Cada observação foi classificada nos seis perfis de humor de Terry por proximidade aos protótipos em escores padronizados. As análises foram conduzidas no nível do grupo e no nível do sujeito.</w:t>
      </w:r>
    </w:p>
    <w:p>
      <w:pPr>
        <w:spacing w:before="200" w:after="80" w:line="360" w:lineRule="auto"/>
      </w:pPr>
      <w:r>
        <w:rPr>
          <w:b/>
          <w:sz w:val="24"/>
        </w:rPr>
        <w:t>5 RESULTADOS</w:t>
      </w:r>
    </w:p>
    <w:p>
      <w:pPr>
        <w:spacing w:line="360" w:lineRule="auto" w:after="120"/>
        <w:ind w:firstLine="709"/>
        <w:jc w:val="both"/>
      </w:pPr>
      <w:r>
        <w:rPr>
          <w:b w:val="0"/>
          <w:sz w:val="24"/>
        </w:rPr>
        <w:t>Os resultados são apresentados primeiro no nível do grupo (5.1 a 5.6) e, em seguida, no nível do sujeito (5.7).</w:t>
      </w:r>
    </w:p>
    <w:p>
      <w:pPr>
        <w:spacing w:before="200" w:after="80" w:line="360" w:lineRule="auto"/>
      </w:pPr>
      <w:r>
        <w:rPr>
          <w:b/>
          <w:sz w:val="24"/>
        </w:rPr>
        <w:t>5.1 Análise descritiva geral do grupo</w:t>
      </w:r>
    </w:p>
    <w:p>
      <w:pPr>
        <w:spacing w:line="360" w:lineRule="auto" w:after="120"/>
        <w:ind w:firstLine="709"/>
        <w:jc w:val="both"/>
      </w:pPr>
      <w:r>
        <w:rPr>
          <w:b w:val="0"/>
          <w:sz w:val="24"/>
        </w:rPr>
        <w:t>As subescalas negativas situam-se próximas do piso (medianas baixas e coeficientes de variação elevados), enquanto o vigor e a fadiga concentram a média e a dispersão informativas — é no eixo energia–fadiga que reside a variabilidade útil do microciclo (Tabela 2). A confusão é a subescala de menor média e a tensão e a raiva, embora baixas, são as negativas mais expressivas.</w:t>
      </w:r>
    </w:p>
    <w:p>
      <w:pPr>
        <w:spacing w:before="160" w:after="40"/>
      </w:pPr>
      <w:r>
        <w:rPr>
          <w:sz w:val="22"/>
        </w:rPr>
        <w:t>Tabela 2 – Estatística descritiva geral do grupo por subescala do BRUMS (456 observações).</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Subescala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IC95%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CV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1,22–1,56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0,79–1,21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2,73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1,35–1,85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3,12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5,41–5,98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5,64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3,89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5,29–6,00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1,19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0,34–0,56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263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0–9</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PTH/TMD</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4,39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9,64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3,51–5,28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219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before="200" w:after="80" w:line="360" w:lineRule="auto"/>
      </w:pPr>
      <w:r>
        <w:rPr>
          <w:b/>
          <w:sz w:val="24"/>
        </w:rPr>
        <w:t>5.2 Comportamento ao longo da semana e do Dia 1 ao Dia 7</w:t>
      </w:r>
    </w:p>
    <w:p>
      <w:pPr>
        <w:spacing w:line="360" w:lineRule="auto" w:after="120"/>
        <w:ind w:firstLine="709"/>
        <w:jc w:val="both"/>
      </w:pPr>
      <w:r>
        <w:rPr>
          <w:b w:val="0"/>
          <w:sz w:val="24"/>
        </w:rPr>
        <w:t>A Figura 2 mostra, com bandas de confiança de 95%, as trajetórias das subescalas: no eixo energia–fadiga o vigor declina e a fadiga e a PTH ascendem de forma sistemática, ao passo que as subescalas negativas de valência não fadiga oscilam próximas do piso, sem tendência monotônica clara. Na comparação Dia 1 → Dia 7 (Tabela 3), o vigor recua com efeito grande (Δ = -3,15; -41%; dz = -0,95; p = 0,001) e a fadiga sobe com efeito médio (Δ = +3,19; 75%; dz = 0,72; p = 0,004); a tensão e a confusão, ao contrário, decrescem significativamente — uma acomodação do estado inicial de ativação e apreensão.</w:t>
      </w:r>
    </w:p>
    <w:p>
      <w:pPr>
        <w:spacing w:before="120"/>
        <w:jc w:val="center"/>
      </w:pPr>
      <w:r>
        <w:drawing>
          <wp:inline xmlns:a="http://schemas.openxmlformats.org/drawingml/2006/main" xmlns:pic="http://schemas.openxmlformats.org/drawingml/2006/picture">
            <wp:extent cx="5580000" cy="2232000"/>
            <wp:docPr id="2" name="Picture 2"/>
            <wp:cNvGraphicFramePr>
              <a:graphicFrameLocks noChangeAspect="1"/>
            </wp:cNvGraphicFramePr>
            <a:graphic>
              <a:graphicData uri="http://schemas.openxmlformats.org/drawingml/2006/picture">
                <pic:pic>
                  <pic:nvPicPr>
                    <pic:cNvPr id="0" name="xb2_traj.png"/>
                    <pic:cNvPicPr/>
                  </pic:nvPicPr>
                  <pic:blipFill>
                    <a:blip r:embed="rId10"/>
                    <a:stretch>
                      <a:fillRect/>
                    </a:stretch>
                  </pic:blipFill>
                  <pic:spPr>
                    <a:xfrm>
                      <a:off x="0" y="0"/>
                      <a:ext cx="5580000" cy="2232000"/>
                    </a:xfrm>
                    <a:prstGeom prst="rect"/>
                  </pic:spPr>
                </pic:pic>
              </a:graphicData>
            </a:graphic>
          </wp:inline>
        </w:drawing>
      </w:r>
    </w:p>
    <w:p>
      <w:pPr>
        <w:jc w:val="center"/>
      </w:pPr>
      <w:r>
        <w:rPr>
          <w:sz w:val="22"/>
        </w:rPr>
        <w:t>Figura 2 – Trajetória das subescalas do BRUMS ao longo da semana (médias diárias; áreas sombreadas = IC95%).</w:t>
      </w:r>
    </w:p>
    <w:p>
      <w:pPr>
        <w:spacing w:after="120"/>
        <w:jc w:val="center"/>
      </w:pPr>
      <w:r>
        <w:rPr>
          <w:sz w:val="18"/>
        </w:rPr>
        <w:t>Fonte: elaboração dos autores (2026).</w:t>
      </w:r>
    </w:p>
    <w:p>
      <w:pPr>
        <w:spacing w:before="160" w:after="40"/>
      </w:pPr>
      <w:r>
        <w:rPr>
          <w:sz w:val="22"/>
        </w:rPr>
        <w:t>Tabela 3 – Comparação Dia 1 → Dia 7 por subescala: médias, variação absoluta e percentual, tamanho de efeito e magnitude.</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Subescala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Dia 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Dia 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Δ</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Δ%</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dz</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Magnitude</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2,14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-0,59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0,011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médio</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1,02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1,27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+0,25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0,752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trivial</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2,48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+0,12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+0,02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0,802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trivial</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7,64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4,49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-3,15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0,001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grande</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4,26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7,46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+3,19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+75%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+0,72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0,004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médio</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1,10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-0,58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-0,46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0,068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pequeno</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PTH/TMD</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3,36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8,28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+4,92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+147%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0,104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pequeno</w:t>
            </w:r>
          </w:p>
        </w:tc>
      </w:tr>
    </w:tbl>
    <w:p>
      <w:pPr>
        <w:spacing w:after="120"/>
      </w:pPr>
      <w:r>
        <w:rPr>
          <w:sz w:val="18"/>
        </w:rPr>
        <w:t>Fonte: dados da pesquisa (2026).</w:t>
      </w:r>
    </w:p>
    <w:p>
      <w:pPr>
        <w:spacing w:before="200" w:after="80" w:line="360" w:lineRule="auto"/>
      </w:pPr>
      <w:r>
        <w:rPr>
          <w:b/>
          <w:sz w:val="24"/>
        </w:rPr>
        <w:t>5.3 Resposta aguda pré→pós ao longo da semana</w:t>
      </w:r>
    </w:p>
    <w:p>
      <w:pPr>
        <w:spacing w:line="360" w:lineRule="auto" w:after="120"/>
        <w:ind w:firstLine="709"/>
        <w:jc w:val="both"/>
      </w:pPr>
      <w:r>
        <w:rPr>
          <w:b w:val="0"/>
          <w:sz w:val="24"/>
        </w:rPr>
        <w:t>Agregando toda a semana, a resposta aguda ao treino (pré → pós) é significativa e de magnitude média no eixo energia–fadiga (Tabela 4): o vigor cai 19% (dz = -0,74; p = 0,001), a fadiga sobe 34% (dz = 0,60; p = 0,005) e a PTH aumenta 131% (dz = 0,66). As demais subescalas apresentam resposta trivial a pequena, sem significância — a deterioração aguda do treino concentra-se na energia e na fadiga e poupa o afeto negativo geral.</w:t>
      </w:r>
    </w:p>
    <w:p>
      <w:pPr>
        <w:spacing w:before="160" w:after="40"/>
      </w:pPr>
      <w:r>
        <w:rPr>
          <w:sz w:val="22"/>
        </w:rPr>
        <w:t>Tabela 4 – Resposta pré → pós agregada na semana: médias, variação percentual, dz (IC95%), p e magnitude.</w:t>
      </w:r>
    </w:p>
    <w:tbl>
      <w:tblPr>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Subescala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Pré</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Pós</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Δ</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Δ%</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dz [IC95%]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b/>
                <w:sz w:val="17"/>
              </w:rPr>
              <w:t>Magnitude</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1,60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+0,16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+0,21 [-0,15, 0,46]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0,420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pequeno</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0,96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+0,36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+0,39 [-0,01, 0,72]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0,085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pequeno</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1,38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+0,20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+0,14 [-0,37, 0,77]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0,558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trivial</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6,22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5,04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-1,18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-19%</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-0,74 [-1,81, -0,55]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0,001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médio</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6,03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+1,52</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+0,60 [0,52, 2,53]</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0,005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médio</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0,51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0,47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-0,04</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-0,09 [-0,23, 0,15]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0,586</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trivial</w:t>
            </w:r>
          </w:p>
        </w:tc>
      </w:tr>
      <w:tr>
        <w:tc>
          <w:tcPr>
            <w:tcW w:type="dxa" w:w="1176"/>
            <w:tcBorders>
              <w:top w:val="single" w:sz="6" w:color="000000"/>
              <w:bottom w:val="single" w:sz="6" w:color="000000"/>
              <w:left w:val="nil" w:sz="6" w:color="000000"/>
              <w:right w:val="nil" w:sz="6" w:color="000000"/>
            </w:tcBorders>
          </w:tcPr>
          <w:p>
            <w:pPr>
              <w:jc w:val="left"/>
            </w:pPr>
            <w:r/>
            <w:r>
              <w:rPr>
                <w:rFonts w:ascii="Times New Roman" w:hAnsi="Times New Roman"/>
                <w:sz w:val="17"/>
              </w:rPr>
              <w:t>PTH/TMD</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2,57</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5,95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+3,38</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+0,66 [1,35, 5,41]</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0,005</w:t>
            </w:r>
          </w:p>
        </w:tc>
        <w:tc>
          <w:tcPr>
            <w:tcW w:type="dxa" w:w="1176"/>
            <w:tcBorders>
              <w:top w:val="single" w:sz="6" w:color="000000"/>
              <w:bottom w:val="single" w:sz="6" w:color="000000"/>
              <w:left w:val="nil" w:sz="6" w:color="000000"/>
              <w:right w:val="nil" w:sz="6" w:color="000000"/>
            </w:tcBorders>
          </w:tcPr>
          <w:p>
            <w:pPr>
              <w:jc w:val="center"/>
            </w:pPr>
            <w:r/>
            <w:r>
              <w:rPr>
                <w:rFonts w:ascii="Times New Roman" w:hAnsi="Times New Roman"/>
                <w:sz w:val="17"/>
              </w:rPr>
              <w:t>médio</w:t>
            </w:r>
          </w:p>
        </w:tc>
      </w:tr>
    </w:tbl>
    <w:p>
      <w:pPr>
        <w:spacing w:after="120"/>
      </w:pPr>
      <w:r>
        <w:rPr>
          <w:sz w:val="18"/>
        </w:rPr>
        <w:t>Fonte: dados da pesquisa (2026).</w:t>
      </w:r>
    </w:p>
    <w:p>
      <w:pPr>
        <w:spacing w:before="200" w:after="80" w:line="360" w:lineRule="auto"/>
      </w:pPr>
      <w:r>
        <w:rPr>
          <w:b/>
          <w:sz w:val="24"/>
        </w:rPr>
        <w:t>5.4 Comportamento da depressão, da raiva e da confusão</w:t>
      </w:r>
    </w:p>
    <w:p>
      <w:pPr>
        <w:spacing w:line="360" w:lineRule="auto" w:after="120"/>
        <w:ind w:firstLine="709"/>
        <w:jc w:val="both"/>
      </w:pPr>
      <w:r>
        <w:rPr>
          <w:b w:val="0"/>
          <w:sz w:val="24"/>
        </w:rPr>
        <w:t>Embora operem próximas do piso, as subescalas negativas apresentam dinâmicas próprias e informativas (Figura 3; Tabela 5). A raiva é a mais reativa e atinge o máximo no dia mais fadigado (pico no Dia 7 = 2,39), acompanhando o acúmulo de carga. A depressão tem pico intermediário (Dia 4 = 1,35), sugerindo um vale afetivo no meio da semana. A confusão e a tensão, ao contrário, são mais altas no início (pico no Dia 1), quando a apreensão pré-microciclo é maior, e decrescem em seguida — a confusão atinge o mínimo (0,15) e permanece a subescala de menor expressão. Todas as negativas apresentam um vale comum por volta do Dia 5, dia de menor carga do microciclo.</w:t>
      </w:r>
    </w:p>
    <w:p>
      <w:pPr>
        <w:spacing w:before="120"/>
        <w:jc w:val="center"/>
      </w:pPr>
      <w:r>
        <w:drawing>
          <wp:inline xmlns:a="http://schemas.openxmlformats.org/drawingml/2006/main" xmlns:pic="http://schemas.openxmlformats.org/drawingml/2006/picture">
            <wp:extent cx="5580000" cy="1860000"/>
            <wp:docPr id="3" name="Picture 3"/>
            <wp:cNvGraphicFramePr>
              <a:graphicFrameLocks noChangeAspect="1"/>
            </wp:cNvGraphicFramePr>
            <a:graphic>
              <a:graphicData uri="http://schemas.openxmlformats.org/drawingml/2006/picture">
                <pic:pic>
                  <pic:nvPicPr>
                    <pic:cNvPr id="0" name="xb2_negatives.png"/>
                    <pic:cNvPicPr/>
                  </pic:nvPicPr>
                  <pic:blipFill>
                    <a:blip r:embed="rId11"/>
                    <a:stretch>
                      <a:fillRect/>
                    </a:stretch>
                  </pic:blipFill>
                  <pic:spPr>
                    <a:xfrm>
                      <a:off x="0" y="0"/>
                      <a:ext cx="5580000" cy="1860000"/>
                    </a:xfrm>
                    <a:prstGeom prst="rect"/>
                  </pic:spPr>
                </pic:pic>
              </a:graphicData>
            </a:graphic>
          </wp:inline>
        </w:drawing>
      </w:r>
    </w:p>
    <w:p>
      <w:pPr>
        <w:jc w:val="center"/>
      </w:pPr>
      <w:r>
        <w:rPr>
          <w:sz w:val="22"/>
        </w:rPr>
        <w:t>Figura 3 – Comportamento diário da depressão, da raiva e da confusão (médias com IC95%); faixas sombreadas destacam o dia de maior vigor (D1) e o de maior fadiga (D7).</w:t>
      </w:r>
    </w:p>
    <w:p>
      <w:pPr>
        <w:spacing w:after="120"/>
        <w:jc w:val="center"/>
      </w:pPr>
      <w:r>
        <w:rPr>
          <w:sz w:val="18"/>
        </w:rPr>
        <w:t>Fonte: elaboração dos autores (2026).</w:t>
      </w:r>
    </w:p>
    <w:p>
      <w:pPr>
        <w:spacing w:before="160" w:after="40"/>
      </w:pPr>
      <w:r>
        <w:rPr>
          <w:sz w:val="22"/>
        </w:rPr>
        <w:t>Tabela 5 – Médias diárias das subescalas negativas e dia de pico.</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Subescala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Pico</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1,69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D1</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0,84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0,99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D4</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1,95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1,84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1,63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1,65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2,39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D7</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0,95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0,43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0,46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D1</w:t>
            </w:r>
          </w:p>
        </w:tc>
      </w:tr>
    </w:tbl>
    <w:p>
      <w:pPr>
        <w:spacing w:after="120"/>
      </w:pPr>
      <w:r>
        <w:rPr>
          <w:sz w:val="18"/>
        </w:rPr>
        <w:t>Fonte: dados da pesquisa (2026).</w:t>
      </w:r>
    </w:p>
    <w:p>
      <w:pPr>
        <w:spacing w:before="200" w:after="80" w:line="360" w:lineRule="auto"/>
      </w:pPr>
      <w:r>
        <w:rPr>
          <w:b/>
          <w:sz w:val="24"/>
        </w:rPr>
        <w:t>5.5 Correlação entre as variáveis do humor e ênfase nos dias de maior vigor e de maior fadiga</w:t>
      </w:r>
    </w:p>
    <w:p>
      <w:pPr>
        <w:spacing w:line="360" w:lineRule="auto" w:after="120"/>
        <w:ind w:firstLine="709"/>
        <w:jc w:val="both"/>
      </w:pPr>
      <w:r>
        <w:rPr>
          <w:b w:val="0"/>
          <w:sz w:val="24"/>
        </w:rPr>
        <w:t>A matriz de correlação entre atletas (Figura 4) revela um agrupamento coeso de afeto negativo: a depressão correlaciona-se com a raiva (ρ = +0,52), a confusão (ρ = +0,51) e a tensão (ρ = +0,35), e, de forma relevante, com a fadiga (ρ = +0,44); a raiva também acompanha a fadiga (ρ = +0,42). O eixo energia–fadiga aparece como dimensão invertida (vigor × fadiga ρ = -0,38), e o vigor é praticamente independente das negativas — coerente com a leitura de que a deterioração de treino é, sobretudo, um fenômeno de energia e fadiga.</w:t>
      </w:r>
    </w:p>
    <w:p>
      <w:pPr>
        <w:spacing w:before="120"/>
        <w:jc w:val="center"/>
      </w:pPr>
      <w:r>
        <w:drawing>
          <wp:inline xmlns:a="http://schemas.openxmlformats.org/drawingml/2006/main" xmlns:pic="http://schemas.openxmlformats.org/drawingml/2006/picture">
            <wp:extent cx="3960000" cy="3477073"/>
            <wp:docPr id="4" name="Picture 4"/>
            <wp:cNvGraphicFramePr>
              <a:graphicFrameLocks noChangeAspect="1"/>
            </wp:cNvGraphicFramePr>
            <a:graphic>
              <a:graphicData uri="http://schemas.openxmlformats.org/drawingml/2006/picture">
                <pic:pic>
                  <pic:nvPicPr>
                    <pic:cNvPr id="0" name="xb2_heatmap.png"/>
                    <pic:cNvPicPr/>
                  </pic:nvPicPr>
                  <pic:blipFill>
                    <a:blip r:embed="rId12"/>
                    <a:stretch>
                      <a:fillRect/>
                    </a:stretch>
                  </pic:blipFill>
                  <pic:spPr>
                    <a:xfrm>
                      <a:off x="0" y="0"/>
                      <a:ext cx="3960000" cy="3477073"/>
                    </a:xfrm>
                    <a:prstGeom prst="rect"/>
                  </pic:spPr>
                </pic:pic>
              </a:graphicData>
            </a:graphic>
          </wp:inline>
        </w:drawing>
      </w:r>
    </w:p>
    <w:p>
      <w:pPr>
        <w:jc w:val="center"/>
      </w:pPr>
      <w:r>
        <w:rPr>
          <w:sz w:val="22"/>
        </w:rPr>
        <w:t>Figura 4 – Matriz de correlação de Spearman entre as subescalas do BRUMS (nível entre atletas).</w:t>
      </w:r>
    </w:p>
    <w:p>
      <w:pPr>
        <w:spacing w:after="120"/>
        <w:jc w:val="center"/>
      </w:pPr>
      <w:r>
        <w:rPr>
          <w:sz w:val="18"/>
        </w:rPr>
        <w:t>Fonte: elaboração dos autores (2026).</w:t>
      </w:r>
    </w:p>
    <w:p>
      <w:pPr>
        <w:spacing w:line="360" w:lineRule="auto" w:after="120"/>
        <w:ind w:firstLine="709"/>
        <w:jc w:val="both"/>
      </w:pPr>
      <w:r>
        <w:rPr>
          <w:b w:val="0"/>
          <w:sz w:val="24"/>
        </w:rPr>
        <w:t>O achado mais expressivo surge ao contrastar os dias extremos (Figura 5; Tabela 6). No dia de maior vigor (Dia 1, grupo descansado), o afeto negativo é praticamente independente da fadiga: depressão ρ = +0,20, raiva ρ = +0,14 e confusão ρ = -0,04 com a fadiga. No dia de maior fadiga (Dia 7), esse acoplamento torna-se forte: a depressão passa a ρ = +0,75, a raiva a ρ = +0,64 e a confusão a ρ = +0,37 com a fadiga, e ambas se associam negativamente ao vigor. Ou seja, quando o grupo está fresco, quem está mais irritado ou abatido não é necessariamente o mais cansado; quando a carga se acumula, as dimensões negativas consolidam-se com a fadiga — o perfil de humor “fecha” sob exaustão. O padrão cresce de modo progressivo ao longo dos dias, com um recuo transitório no Dia 5 (menor carga).</w:t>
      </w:r>
    </w:p>
    <w:p>
      <w:pPr>
        <w:spacing w:before="120"/>
        <w:jc w:val="center"/>
      </w:pPr>
      <w:r>
        <w:drawing>
          <wp:inline xmlns:a="http://schemas.openxmlformats.org/drawingml/2006/main" xmlns:pic="http://schemas.openxmlformats.org/drawingml/2006/picture">
            <wp:extent cx="5580000" cy="2083200"/>
            <wp:docPr id="5" name="Picture 5"/>
            <wp:cNvGraphicFramePr>
              <a:graphicFrameLocks noChangeAspect="1"/>
            </wp:cNvGraphicFramePr>
            <a:graphic>
              <a:graphicData uri="http://schemas.openxmlformats.org/drawingml/2006/picture">
                <pic:pic>
                  <pic:nvPicPr>
                    <pic:cNvPr id="0" name="xb2_corrfocus.png"/>
                    <pic:cNvPicPr/>
                  </pic:nvPicPr>
                  <pic:blipFill>
                    <a:blip r:embed="rId13"/>
                    <a:stretch>
                      <a:fillRect/>
                    </a:stretch>
                  </pic:blipFill>
                  <pic:spPr>
                    <a:xfrm>
                      <a:off x="0" y="0"/>
                      <a:ext cx="5580000" cy="2083200"/>
                    </a:xfrm>
                    <a:prstGeom prst="rect"/>
                  </pic:spPr>
                </pic:pic>
              </a:graphicData>
            </a:graphic>
          </wp:inline>
        </w:drawing>
      </w:r>
    </w:p>
    <w:p>
      <w:pPr>
        <w:jc w:val="center"/>
      </w:pPr>
      <w:r>
        <w:rPr>
          <w:sz w:val="22"/>
        </w:rPr>
        <w:t>Figura 5 – Acoplamento das subescalas negativas com a fadiga: (A) no dia de maior vigor (D1) vs. no dia de maior fadiga (D7); (B) evolução dia a dia.</w:t>
      </w:r>
    </w:p>
    <w:p>
      <w:pPr>
        <w:spacing w:after="120"/>
        <w:jc w:val="center"/>
      </w:pPr>
      <w:r>
        <w:rPr>
          <w:sz w:val="18"/>
        </w:rPr>
        <w:t>Fonte: elaboração dos autores (2026).</w:t>
      </w:r>
    </w:p>
    <w:p>
      <w:pPr>
        <w:spacing w:before="160" w:after="40"/>
      </w:pPr>
      <w:r>
        <w:rPr>
          <w:sz w:val="22"/>
        </w:rPr>
        <w:t>Tabela 6 – Correlação (ρ de Spearman) das subescalas negativas com a fadiga e o vigor no dia de maior vigor (D1) e no de maior fadiga (D7).</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Subescala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ρ×Fadiga (D1)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ρ×Fadiga (D7)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ρ×Vigor (D1)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ρ×Vigor (D7)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+0,75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-0,29</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+0,37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+0,38</w:t>
            </w:r>
          </w:p>
        </w:tc>
      </w:tr>
    </w:tbl>
    <w:p>
      <w:pPr>
        <w:spacing w:after="120"/>
      </w:pPr>
      <w:r>
        <w:rPr>
          <w:sz w:val="18"/>
        </w:rPr>
        <w:t>Fonte: dados da pesquisa (2026).</w:t>
      </w:r>
    </w:p>
    <w:p>
      <w:pPr>
        <w:spacing w:before="200" w:after="80" w:line="360" w:lineRule="auto"/>
      </w:pPr>
      <w:r>
        <w:rPr>
          <w:b/>
          <w:sz w:val="24"/>
        </w:rPr>
        <w:t>5.6 Comportamento intra-dia (pré → pós por dia) e perfis de humor</w:t>
      </w:r>
    </w:p>
    <w:p>
      <w:pPr>
        <w:spacing w:line="360" w:lineRule="auto" w:after="120"/>
        <w:ind w:firstLine="709"/>
        <w:jc w:val="both"/>
      </w:pPr>
      <w:r>
        <w:rPr>
          <w:b w:val="0"/>
          <w:sz w:val="24"/>
        </w:rPr>
        <w:t>O padrão intra-dia repete-se com regularidade: em todos os dias de treino o vigor cai e a fadiga e a PTH sobem do pré para o pós, sinal de um choque agudo consistente a cada sessão, enquanto as subescalas negativas variam pouco dentro do dia (Figura 6). Quanto à classificação, na linha de base (Dia 1) predomina o perfil iceberg (40%), marca de prontidão; no último dia (Dia 7) o perfil de fadiga (“barbatana de tubarão”) torna-se o mais frequente (28%) e o iceberg cai para 17% (Figura 7; Tabela 7). Essa migração — do iceberg para a assinatura de fadiga funcional, sem instalação relevante de perfis de risco (submerso, iceberg invertido) — é a leitura central da semana.</w:t>
      </w:r>
    </w:p>
    <w:p>
      <w:pPr>
        <w:spacing w:before="120"/>
        <w:jc w:val="center"/>
      </w:pPr>
      <w:r>
        <w:drawing>
          <wp:inline xmlns:a="http://schemas.openxmlformats.org/drawingml/2006/main" xmlns:pic="http://schemas.openxmlformats.org/drawingml/2006/picture">
            <wp:extent cx="5580000" cy="1788462"/>
            <wp:docPr id="6" name="Picture 6"/>
            <wp:cNvGraphicFramePr>
              <a:graphicFrameLocks noChangeAspect="1"/>
            </wp:cNvGraphicFramePr>
            <a:graphic>
              <a:graphicData uri="http://schemas.openxmlformats.org/drawingml/2006/picture">
                <pic:pic>
                  <pic:nvPicPr>
                    <pic:cNvPr id="0" name="xb2_intraday.png"/>
                    <pic:cNvPicPr/>
                  </pic:nvPicPr>
                  <pic:blipFill>
                    <a:blip r:embed="rId14"/>
                    <a:stretch>
                      <a:fillRect/>
                    </a:stretch>
                  </pic:blipFill>
                  <pic:spPr>
                    <a:xfrm>
                      <a:off x="0" y="0"/>
                      <a:ext cx="5580000" cy="1788462"/>
                    </a:xfrm>
                    <a:prstGeom prst="rect"/>
                  </pic:spPr>
                </pic:pic>
              </a:graphicData>
            </a:graphic>
          </wp:inline>
        </w:drawing>
      </w:r>
    </w:p>
    <w:p>
      <w:pPr>
        <w:jc w:val="center"/>
      </w:pPr>
      <w:r>
        <w:rPr>
          <w:sz w:val="22"/>
        </w:rPr>
        <w:t>Figura 6 – Escores pré e pós-treino por dia (vigor, fadiga, PTH) e variação intra-dia das subescalas negativas.</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580000" cy="2832923"/>
            <wp:docPr id="7" name="Picture 7"/>
            <wp:cNvGraphicFramePr>
              <a:graphicFrameLocks noChangeAspect="1"/>
            </wp:cNvGraphicFramePr>
            <a:graphic>
              <a:graphicData uri="http://schemas.openxmlformats.org/drawingml/2006/picture">
                <pic:pic>
                  <pic:nvPicPr>
                    <pic:cNvPr id="0" name="xb2_profiles.png"/>
                    <pic:cNvPicPr/>
                  </pic:nvPicPr>
                  <pic:blipFill>
                    <a:blip r:embed="rId15"/>
                    <a:stretch>
                      <a:fillRect/>
                    </a:stretch>
                  </pic:blipFill>
                  <pic:spPr>
                    <a:xfrm>
                      <a:off x="0" y="0"/>
                      <a:ext cx="5580000" cy="2832923"/>
                    </a:xfrm>
                    <a:prstGeom prst="rect"/>
                  </pic:spPr>
                </pic:pic>
              </a:graphicData>
            </a:graphic>
          </wp:inline>
        </w:drawing>
      </w:r>
    </w:p>
    <w:p>
      <w:pPr>
        <w:jc w:val="center"/>
      </w:pPr>
      <w:r>
        <w:rPr>
          <w:sz w:val="22"/>
        </w:rPr>
        <w:t>Figura 7 – Distribuição (%) dos seis perfis de humor por recorte: linha de base (D1), semana, último dia (D7), pré e pós.</w:t>
      </w:r>
    </w:p>
    <w:p>
      <w:pPr>
        <w:spacing w:after="120"/>
        <w:jc w:val="center"/>
      </w:pPr>
      <w:r>
        <w:rPr>
          <w:sz w:val="18"/>
        </w:rPr>
        <w:t>Fonte: elaboração dos autores (2026).</w:t>
      </w:r>
    </w:p>
    <w:p>
      <w:pPr>
        <w:spacing w:before="160" w:after="40"/>
      </w:pPr>
      <w:r>
        <w:rPr>
          <w:sz w:val="22"/>
        </w:rPr>
        <w:t>Tabela 7 – Distribuição (%) dos perfis de humor de Terry por recorte.</w:t>
      </w:r>
    </w:p>
    <w:tbl>
      <w:tblPr>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8"/>
              </w:rPr>
              <w:t>Perfil</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8"/>
              </w:rPr>
              <w:t>D1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8"/>
              </w:rPr>
              <w:t>Semana</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8"/>
              </w:rPr>
              <w:t>D7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8"/>
              </w:rPr>
              <w:t>Iceberg</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32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37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24</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8"/>
              </w:rPr>
              <w:t>Everest invertido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12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8"/>
              </w:rPr>
              <w:t>Iceberg invertido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8"/>
              </w:rPr>
              <w:t>Submerso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7</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13</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12</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8"/>
              </w:rPr>
              <w:t>Barbatana de tubarão</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2</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r>
      <w:tr>
        <w:tc>
          <w:tcPr>
            <w:tcW w:type="dxa" w:w="1567"/>
            <w:tcBorders>
              <w:top w:val="single" w:sz="6" w:color="000000"/>
              <w:bottom w:val="single" w:sz="6" w:color="000000"/>
              <w:left w:val="nil" w:sz="6" w:color="000000"/>
              <w:right w:val="nil" w:sz="6" w:color="000000"/>
            </w:tcBorders>
          </w:tcPr>
          <w:p>
            <w:pPr>
              <w:jc w:val="left"/>
            </w:pPr>
            <w:r/>
            <w:r>
              <w:rPr>
                <w:rFonts w:ascii="Times New Roman" w:hAnsi="Times New Roman"/>
                <w:sz w:val="18"/>
              </w:rPr>
              <w:t>Superfície</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26</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31</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28</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25</w:t>
            </w:r>
          </w:p>
        </w:tc>
        <w:tc>
          <w:tcPr>
            <w:tcW w:type="dxa" w:w="1567"/>
            <w:tcBorders>
              <w:top w:val="single" w:sz="6" w:color="000000"/>
              <w:bottom w:val="single" w:sz="6" w:color="000000"/>
              <w:left w:val="nil" w:sz="6" w:color="000000"/>
              <w:right w:val="nil" w:sz="6" w:color="000000"/>
            </w:tcBorders>
          </w:tcPr>
          <w:p>
            <w:pPr>
              <w:jc w:val="center"/>
            </w:pPr>
            <w:r/>
            <w:r>
              <w:rPr>
                <w:rFonts w:ascii="Times New Roman" w:hAnsi="Times New Roman"/>
                <w:sz w:val="18"/>
              </w:rPr>
              <w:t>33</w:t>
            </w:r>
          </w:p>
        </w:tc>
      </w:tr>
    </w:tbl>
    <w:p>
      <w:pPr>
        <w:spacing w:after="120"/>
      </w:pPr>
      <w:r>
        <w:rPr>
          <w:sz w:val="18"/>
        </w:rPr>
        <w:t>Fonte: dados da pesquisa (2026).</w:t>
      </w:r>
    </w:p>
    <w:p>
      <w:pPr>
        <w:spacing w:before="200" w:after="80" w:line="360" w:lineRule="auto"/>
      </w:pPr>
      <w:r>
        <w:rPr>
          <w:b/>
          <w:sz w:val="24"/>
        </w:rPr>
        <w:t>5.7 Análise no nível do sujeito</w:t>
      </w:r>
    </w:p>
    <w:p>
      <w:pPr>
        <w:spacing w:line="360" w:lineRule="auto" w:after="120"/>
        <w:ind w:firstLine="709"/>
        <w:jc w:val="both"/>
      </w:pPr>
      <w:r>
        <w:rPr>
          <w:b w:val="0"/>
          <w:sz w:val="24"/>
        </w:rPr>
        <w:t>No nível individual, a resposta é heterogênea, mas majoritariamente de deterioração no eixo energia–fadiga: do Dia 1 ao Dia 7, 81% dos atletas reduzem o vigor e 81% aumentam a fadiga. As médias semanais individuais variam amplamente (vigor de 0,0 a 10,4; fadiga de 0,8 a 12,7), o que reforça a recomendação de interpretar o humor referenciado à linha de base de cada atleta — e não apenas pela média do grupo. A conjunção dos achados de grupo e de sujeito indica que, embora o movimento médio seja claro (vigor ↓, fadiga ↑, perfil iceberg → fadiga), a magnitude e o momento da deterioração são próprios de cada atleta, o que justifica o monitoramento individualizado por tendência.</w:t>
      </w:r>
    </w:p>
    <w:p>
      <w:pPr>
        <w:spacing w:before="200" w:after="80" w:line="360" w:lineRule="auto"/>
      </w:pPr>
      <w:r>
        <w:rPr>
          <w:b/>
          <w:sz w:val="24"/>
        </w:rPr>
        <w:t>6 SÍNTESE DOS PRINCIPAIS ACHADOS</w:t>
      </w:r>
    </w:p>
    <w:p>
      <w:pPr>
        <w:spacing w:line="360" w:lineRule="auto" w:after="80"/>
        <w:jc w:val="both"/>
      </w:pPr>
      <w:r>
        <w:rPr>
          <w:sz w:val="24"/>
        </w:rPr>
        <w:t>•  A deterioração do humor concentra-se no eixo energia–fadiga (vigor ↓, fadiga ↑, PTH ↑); as subescalas negativas de valência não fadiga permanecem próximas do piso.</w:t>
      </w:r>
    </w:p>
    <w:p>
      <w:pPr>
        <w:spacing w:line="360" w:lineRule="auto" w:after="80"/>
        <w:jc w:val="both"/>
      </w:pPr>
      <w:r>
        <w:rPr>
          <w:sz w:val="24"/>
        </w:rPr>
        <w:t>•  Resposta aguda pré→pós significativa e de magnitude média: vigor −19% (dz = -0,74), fadiga +34% (dz = 0,60), PTH +131% (dz = 0,66).</w:t>
      </w:r>
    </w:p>
    <w:p>
      <w:pPr>
        <w:spacing w:line="360" w:lineRule="auto" w:after="80"/>
        <w:jc w:val="both"/>
      </w:pPr>
      <w:r>
        <w:rPr>
          <w:sz w:val="24"/>
        </w:rPr>
        <w:t>•  Do Dia 1 ao Dia 7, o vigor recua com efeito grande (dz = -0,95) e a fadiga sobe com efeito médio (dz = 0,72); tensão e confusão se acomodam.</w:t>
      </w:r>
    </w:p>
    <w:p>
      <w:pPr>
        <w:spacing w:line="360" w:lineRule="auto" w:after="80"/>
        <w:jc w:val="both"/>
      </w:pPr>
      <w:r>
        <w:rPr>
          <w:sz w:val="24"/>
        </w:rPr>
        <w:t>•  As negativas têm dinâmica própria: a raiva pica no dia mais fadigado (D7), a depressão no meio da semana e a confusão/tensão no início.</w:t>
      </w:r>
    </w:p>
    <w:p>
      <w:pPr>
        <w:spacing w:line="360" w:lineRule="auto" w:after="80"/>
        <w:jc w:val="both"/>
      </w:pPr>
      <w:r>
        <w:rPr>
          <w:sz w:val="24"/>
        </w:rPr>
        <w:t>•  O afeto negativo consolida-se com a fadiga apenas sob carga: depressão×fadiga passa de ρ = +0,20 (D1) para ρ = +0,75 (D7); raiva×fadiga de +0,14 para +0,64.</w:t>
      </w:r>
    </w:p>
    <w:p>
      <w:pPr>
        <w:spacing w:line="360" w:lineRule="auto" w:after="80"/>
        <w:jc w:val="both"/>
      </w:pPr>
      <w:r>
        <w:rPr>
          <w:sz w:val="24"/>
        </w:rPr>
        <w:t>•  O perfil migra do iceberg (40% no D1) para a fadiga funcional (barbatana de tubarão, 28% no D7), sem instalação de perfis de risco.</w:t>
      </w:r>
    </w:p>
    <w:p>
      <w:pPr>
        <w:spacing w:line="360" w:lineRule="auto" w:after="80"/>
        <w:jc w:val="both"/>
      </w:pPr>
      <w:r>
        <w:rPr>
          <w:sz w:val="24"/>
        </w:rPr>
        <w:t>•  No nível do sujeito, a maioria deteriora de forma coerente com o grupo, com ampla variabilidade individual — monitorar por tendência e por linha de base individual.</w:t>
      </w:r>
    </w:p>
    <w:p>
      <w:pPr>
        <w:spacing w:before="200" w:after="80" w:line="360" w:lineRule="auto"/>
      </w:pPr>
      <w:r>
        <w:rPr>
          <w:b/>
          <w:sz w:val="24"/>
        </w:rPr>
        <w:t>REFERÊNCIAS</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LEW, P. C. F. et al. Cross-cultural validation of the Malaysian Mood Scale and tests of between-group mood differences. International Journal of Environmental Research and Public Health, v. 20, n. 4, 3348, 2023. DOI: 10.3390/ijerph20043348.</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MICHALSIK, L. B.; MADSEN, K.; AAGAARD, P. Match performance and physiological capacity of female elite team handball players. International Journal of Sports Medicine, v. 35, n. 7, p. 595–607, 2013. DOI: 10.1055/s-0033-1358713.</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TAN, C. et al. The structural validity and latent profile characteristics of the Abbreviated Profile of Mood States among Chinese athletes. BMC Psychiatry, v. 24, n. 1, 636, 2024. DOI: 10.1186/s12888-024-06092-5.</w:t>
      </w:r>
    </w:p>
    <w:p>
      <w:pPr>
        <w:spacing w:line="360" w:lineRule="auto" w:after="120"/>
        <w:jc w:val="both"/>
      </w:pPr>
      <w:r>
        <w:rPr>
          <w:sz w:val="22"/>
        </w:rPr>
        <w:t>TERRY, P. C.; LANE, A. M.; LANE, H. J.; KEOHANE, L. Development and validation of a mood measure for adolescents. Journal of Sports Sciences, v. 17, n. 11, p. 861–872, 1999. DOI: 10.1080/026404199365425.</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WAGNER, H. et al. Individual and team performance in team-handball: a review. Journal of Sports Science and Medicine, v. 13, n. 4, p. 808–816, 2014.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