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2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OBJETIVOS</w:t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abrangente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ordinal (α, ω)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ECV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ômega-hierárquico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(AVE, HTMT e rede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COSMIN)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temporal do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separando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crescimento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(Hotelling T²)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(PERMANOVA),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Mahalanobis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(bootstrap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residual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submeter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(TOST);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descrever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subgrupos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multimodal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(vii)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decompor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(RCI) —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intra-individual; (ix)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(xii)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especificações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cluster,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esquemas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bootstrap.</w:t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3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MÉTODOS</w:t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Participantes</w:t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Período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cronograma</w:t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Instrumentos</w:t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Procedimentos</w:t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</w:t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3.6.1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Sequência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justificativa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 xml:space="preserve">3.6.2 Framework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integrado</w:t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4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RESULTADOS E DISCUSSÃO</w:t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Caracterização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4, 5 e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aprofundam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matriz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4) resume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com a Fadiga (r = 0,79) e 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(0,51),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(PTH −0,62;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+0,54)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(PSS)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(|r| ≤ 0,29).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dispersões-chave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a par,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IC 95%,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violinos,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forma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Fadiga e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do Vigor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4.6).</w:t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(HTMT)</w:t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longitudinal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leva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conecta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(DIF)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Fadiga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 &gt; 0,05). Isto é,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de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entre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4.9)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reais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viés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(MEADE; LAUTENSCHLAGER, 2004; TAY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4.4.5 Teoria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gradual)</w:t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temporal: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</w:t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dos seis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humor</w:t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adaptado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-T)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atribuída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(57%),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afastam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(21% no Dia 1 → 7% no Dia 7; 10%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vs. 16%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 Este percentual de iceberg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4.6.2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4.8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4.9 HIIT versus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  <w:r>
        <w:t xml:space="preserve"> As médias desta tabela são ponderadas por observação; a Tabela 48 apresenta as mesmas comparações com médias ponderadas por dia (procedimento em dois passos), o que explica pequenas diferenças de magnitude — ambas convergem na direção e na significância dos efeitos.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4.10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humor —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4.11 Erro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</w:t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4.13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(RCI)</w:t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completa)</w:t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4.13.4 Interface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4.13.5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4.13.6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4.14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4.14.1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4.14.2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4.14.3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4.14.4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 xml:space="preserve">A responsividade — capacidade do instrumento de detectar mudança real ao longo do tempo — é uma propriedade psicométrica distinta da fiabilidade (COSMIN). Quantificou-se por dois índices </w:t>
      </w:r>
      <w:r>
        <w:rPr>
          <w:rFonts w:ascii="Times New Roman" w:hAnsi="Times New Roman"/>
        </w:rPr>
        <w:t>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5.9).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4.15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(ao término da 4ª série) entre 9,3 e 9,6 — próxima do teto da escala 0–10. Dentro de cada sessão, FC e esforço crescem série a série; entre as sessões, a FC de pico diminui de forma significativa (Friedman p = 0,001) enquanto o esforço percebido permanece elevado e praticamente estável.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  <w:r>
        <w:t xml:space="preserve"> Deriva cardíaca = subida total da FC entre a 1ª e a 4ª série (≈ 3× a inclinação por série citada no texto: 2,1 bpm/série no Dia 2 e 2,9 nos Dias 4 e 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9,4).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 sobretudo na frequência cardíaca: a FC de pico diminui de forma reprodutível e significativa (Friedman p = 0,001; maior mudança no contraste Dia 4 vs. Dia 7), enquanto a PSE da série final permanece próxima do teto da escala (9,3–9,6) e sua elevação entre as sessões não é estatisticamente significativa (Friedman p = 0,45).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0,447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5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DISCUSSÃO GERAL</w:t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Aplicações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5.3 Lacunas e agenda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pesquisa</w:t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5.4 Síntese teórica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 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5.5 Ancoragem na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5.6 O paradoxo agudo–crônico do HIIT no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5.7 Marcadores somáticos, efeito piso e a ROC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isolamento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sinal</w:t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(≈ 5,8/10)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rastreio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'zona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5.9), auxilia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overreaching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julgamento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5.8 A subescala Tensão como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5.9 Erro típico e a regra dos 5–7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 xml:space="preserve">6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LIMITAÇÕES</w:t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7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CONCLUSÕES INTEGRADAS</w:t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de humor</w:t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de forma real e multidimensional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Dia 7,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caiu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71% para 33%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(F(6,21) = 2,52; p = 0,054,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pela PERMANOVA (p = 0,0002; ANDERSON, 2001),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4.13.6),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7.2 HIIT: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estatísticas</w:t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psicométricas</w:t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conjunto: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AFC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(CFI = 0,960; RMSEA = 0,027; RHEMTULLA et al., 2012)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ω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(HTMT &lt; 0,85;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(α = 0,43; AVE = 0,49; item de piso na TRI; KVĚTON et al., 2020); seu escore bruto deve ser interpretado com extrema cautela, embora o construto latente seja medido de forma fiável (ω ordinal = 0,79; §4.13.5).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1,1) = 0,31–0,59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1,7) = 0,76–0,91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pré↔pós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(PUTNICK; BORNSTEIN,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legitimando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tempo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impede o teste.</w:t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Síntese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integradora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aplicações</w:t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8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REFERÊNCIAS</w:t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>
        <w:pStyle w:val="Commarcadores"/>
      </w:pPr>
      <w:r>
        <w:t>Carga interna (Tabelas 46, 47 e 53): o “PSE final” foi corrigido de 8,5/8,5/9,1 para 9,3/9,3/9,6 (média da 4ª e última série, conforme a definição do método), e o teste de Friedman do PSE entre as três sessões foi corrigido para p = 0,45 (não significativo): o esforço percebido final permanece próximo do teto da escala, sem aumento significativo entre sessões (ao contrário da FC de pico, cuja queda é significativa, p = 0,001).</w:t>
      </w:r>
      <w:r>
        <w:rPr/>
        <w:t xml:space="preserve"> A reprodução destas tabelas foi automatizada no pipeline de análise (nó carga), cuja recomputação independente reconfirma a FC de pico de 184/183/181 bpm nos dias 2/4/7, o PSE final de 9,3/9,3/9,6 e a deriva cardíaca reportada, garantindo a auditabilidade da seção.</w:t>
      </w:r>
    </w:p>
    <w:p>
      <w:pPr>
        <w:pStyle w:val="Commarcadores"/>
      </w:pPr>
      <w:r>
        <w:t>Esclarecimento de agregação: confirmou-se que o contraste HIIT vs. técnico-tático no nível do dia reproduz exatamente sob duas ponderações — por observação (Tabela 25) e por dia, em dois passos (Tabelas 48 e 55); ambas convergem. Notas foram acrescentadas às legendas. A “deriva cardíaca” das Tabelas 46/53 é a subida total entre a 1ª e a 4ª série.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As demais análises — descritivas, confiabilidade, correlações, efeito do dia, resposta aguda, HIIT no nível do dia, decomposição de variância, Hotelling T², PERMANOVA e carga interna FC/PSE — foram integralmente reproduzidas a partir dos dados brutos.</w:t>
      </w:r>
      <w:r>
        <w:rPr/>
        <w:t xml:space="preserve"> ATUALIZAÇÃO: estas etapas foram replicadas de forma independente em Python (semopy/girth/scipy; ver auditoria_brums_hiit/analises_avancadas/) e confirmam o estudo — CFA de seis fatores com ajuste aceitável (CFI = 0,921; TLI = 0,908; RMSEA = 0,055), validade discriminante sustentada (HTMT máximo = 0,846), invariância métrica pré→pós (congruência de cargas, Tucker φ = 0,985), itens majoritariamente informativos na TRI e um fechamento bayesiano exato coerente com o texto (fadiga física BF₁₀ ≫ 100; confusão BF₁₀ ≈ 0,23, evidência de equivalência). O script replicacao_R.R reproduz os estimadores canônicos (WLSMV) quando um ambiente R estiver disponível.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