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MONITORAMENTO DOS ESTADOS DE HUMOR NA ÚLTIMA SEMANA DE PRÉ-TEMPORADA DE ATLETAS DE HANDEBOL DE ELITE: RELAÇÕES COM A APTIDÃO AERÓBIA E A CARGA DE TREINO</w:t>
      </w:r>
    </w:p>
    <w:p>
      <w:pPr>
        <w:spacing w:before="280" w:after="80"/>
      </w:pPr>
      <w:r>
        <w:rPr>
          <w:rFonts w:ascii="Times New Roman" w:hAnsi="Times New Roman"/>
          <w:b/>
          <w:sz w:val="25"/>
        </w:rPr>
        <w:t>Resumo</w:t>
      </w:r>
    </w:p>
    <w:p>
      <w:pPr>
        <w:spacing w:line="360" w:lineRule="auto" w:after="0"/>
        <w:ind w:firstLine="709"/>
        <w:jc w:val="both"/>
      </w:pPr>
      <w:r>
        <w:rPr>
          <w:rFonts w:ascii="Times New Roman" w:hAnsi="Times New Roman"/>
          <w:i w:val="0"/>
          <w:sz w:val="24"/>
        </w:rPr>
        <w:t>Objetivo: descrever e classificar o comportamento dos estados de humor de atletas de handebol de elite ao longo da última semana de pré-temporada e verificar se a aptidão aeróbia, medida pelo pico de velocidade no teste de campo T-car, associa-se à variação do humor. Método: estudo observacional longitudinal, de grupo único, com medidas repetidas. Vinte e sete atletas do sexo masculino responderam ao questionário BRUMS de forma virtual, pela plataforma Google Forms, em dois momentos por dia (manhã e fim de tarde) durante sete dias. O pico de velocidade foi obtido no T-car, aplicado antes do período de observação. A análise seguiu três níveis: descritivo, exploratório e avançado, com testes não paramétricos, tamanhos de efeito, derivadas das curvas diárias e limiares de mudança confiável. Resultados: o Vigor caiu de forma acentuada ao longo da semana (D1 8,4 para D7 4,3; dz = 1,33; p &lt; 0,001) e a Fadiga física aumentou de maneira consistente (qui-quadrado de Friedman = 51,3; p &lt; 0,001). A maioria dos atletas migrou do perfil de humor positivo (iceberg) para perfis de menor energia. A aptidão aeróbia relacionou-se ao nível do humor, mas não à magnitude da deterioração ao longo da semana. Conclusão: a última semana de pré-temporada produziu perda de energia e acúmulo de fadiga; atletas mais aptos não estiveram protegidos contra essa deterioração.</w:t>
      </w:r>
    </w:p>
    <w:p>
      <w:pPr>
        <w:spacing w:after="80"/>
      </w:pPr>
      <w:r>
        <w:rPr>
          <w:b/>
          <w:sz w:val="22"/>
        </w:rPr>
        <w:t xml:space="preserve">Palavras-chave: </w:t>
      </w:r>
      <w:r>
        <w:rPr>
          <w:sz w:val="22"/>
        </w:rPr>
        <w:t>estados de humor; BRUMS; handebol; carga de treinamento; pico de velocidade; monitoramento.</w:t>
      </w:r>
    </w:p>
    <w:p>
      <w:pPr>
        <w:spacing w:before="280" w:after="80"/>
      </w:pPr>
      <w:r>
        <w:rPr>
          <w:rFonts w:ascii="Times New Roman" w:hAnsi="Times New Roman"/>
          <w:b/>
          <w:sz w:val="25"/>
        </w:rPr>
        <w:t>1  Introdução</w:t>
      </w:r>
    </w:p>
    <w:p>
      <w:pPr>
        <w:spacing w:line="360" w:lineRule="auto" w:after="0"/>
        <w:ind w:firstLine="709"/>
        <w:jc w:val="both"/>
      </w:pPr>
      <w:r>
        <w:rPr>
          <w:rFonts w:ascii="Times New Roman" w:hAnsi="Times New Roman"/>
          <w:i w:val="0"/>
          <w:sz w:val="24"/>
        </w:rPr>
        <w:t>A pré-temporada é o período em que a equipe concentra as maiores cargas de treino do ano. É nesse intervalo que o condicionamento é reconstruído, mas também é quando o risco de fadiga excessiva é mais alto. Acompanhar como o atleta responde a esse esforço é parte central do trabalho da comissão técnica, porque ajustes feitos a tempo evitam que a fadiga se acumule além do desejado.</w:t>
      </w:r>
    </w:p>
    <w:p>
      <w:pPr>
        <w:spacing w:line="360" w:lineRule="auto" w:after="0"/>
        <w:ind w:firstLine="709"/>
        <w:jc w:val="both"/>
      </w:pPr>
      <w:r>
        <w:rPr>
          <w:rFonts w:ascii="Times New Roman" w:hAnsi="Times New Roman"/>
          <w:i w:val="0"/>
          <w:sz w:val="24"/>
        </w:rPr>
        <w:t>Entre as ferramentas de acompanhamento, os estados de humor têm papel de destaque. O humor responde rápido às mudanças de carga e funciona como um sinal de alerta precoce: costuma se alterar antes de indicadores físicos e de desempenho. O instrumento mais utilizado para essa finalidade é o BRUMS, uma escala curta que mede as seis dimensões do humor (vigor, fadiga, tensão, depressão, raiva e confusão) e permite descrever o chamado perfil de iceberg, no qual o vigor se sobrepõe às dimensões negativas em atletas bem recuperados.</w:t>
      </w:r>
    </w:p>
    <w:p>
      <w:pPr>
        <w:spacing w:line="360" w:lineRule="auto" w:after="0"/>
        <w:ind w:firstLine="709"/>
        <w:jc w:val="both"/>
      </w:pPr>
      <w:r>
        <w:rPr>
          <w:rFonts w:ascii="Times New Roman" w:hAnsi="Times New Roman"/>
          <w:i w:val="0"/>
          <w:sz w:val="24"/>
        </w:rPr>
        <w:t>Ao lado do humor, a aptidão aeróbia define quanto esforço o atleta suporta antes de fadigar. Neste estudo, a aptidão foi medida pelo pico de velocidade no T-car, um teste de campo intermitente cujo pico de velocidade já está bem estabelecido na literatura como marcador de potência aeróbia máxima e de capacidade de sustentar esforços intensos e intermitentes (Da Silva et al., 2011; Carminatti et al., 2013; Fernandes-da-Silva et al., 2016; Floriano et al., 2016). A pergunta prática é direta: o atleta mais apto tem o humor menos afetado pela semana de treino, ou a deterioração atinge a todos de forma parecida?</w:t>
      </w:r>
    </w:p>
    <w:p>
      <w:pPr>
        <w:spacing w:line="360" w:lineRule="auto" w:after="0"/>
        <w:ind w:firstLine="709"/>
        <w:jc w:val="both"/>
      </w:pPr>
      <w:r>
        <w:rPr>
          <w:rFonts w:ascii="Times New Roman" w:hAnsi="Times New Roman"/>
          <w:i w:val="0"/>
          <w:sz w:val="24"/>
        </w:rPr>
        <w:t>Este trabalho descreve o comportamento de todas as dimensões do humor ao longo da última semana de pré-temporada de uma equipe de elite e testa se a aptidão aeróbia protege o atleta dessa variação. A linguagem foi mantida clara e objetiva, e cada análise é explicada em termos simples, para que o resultado seja útil tanto para o pesquisador quanto para a comissão técnica.</w:t>
      </w:r>
    </w:p>
    <w:p>
      <w:pPr>
        <w:spacing w:before="280" w:after="80"/>
      </w:pPr>
      <w:r>
        <w:rPr>
          <w:rFonts w:ascii="Times New Roman" w:hAnsi="Times New Roman"/>
          <w:b/>
          <w:sz w:val="25"/>
        </w:rPr>
        <w:t>2  Método</w:t>
      </w:r>
    </w:p>
    <w:p>
      <w:pPr>
        <w:spacing w:before="200" w:after="60"/>
      </w:pPr>
      <w:r>
        <w:rPr>
          <w:rFonts w:ascii="Times New Roman" w:hAnsi="Times New Roman"/>
          <w:b/>
          <w:i/>
          <w:sz w:val="24"/>
        </w:rPr>
        <w:t>2.1  Tipo de estudo</w:t>
      </w:r>
    </w:p>
    <w:p>
      <w:pPr>
        <w:spacing w:line="360" w:lineRule="auto" w:after="0"/>
        <w:ind w:firstLine="709"/>
        <w:jc w:val="both"/>
      </w:pPr>
      <w:r>
        <w:rPr>
          <w:rFonts w:ascii="Times New Roman" w:hAnsi="Times New Roman"/>
          <w:i w:val="0"/>
          <w:sz w:val="24"/>
        </w:rPr>
        <w:t>Trata-se de um estudo observacional, longitudinal e de abordagem quantitativa, com medidas repetidas no mesmo grupo de atletas. Observacional porque a rotina de treino não foi manipulada pelos pesquisadores: a equipe seguiu o planejamento normal da comissão técnica. Longitudinal porque os mesmos atletas foram avaliados repetidas vezes ao longo de sete dias. De grupo único porque não houve grupo controle; cada atleta serve de referência para si mesmo, e a comparação é feita entre os momentos da semana.</w:t>
      </w:r>
    </w:p>
    <w:p>
      <w:pPr>
        <w:spacing w:before="200" w:after="60"/>
      </w:pPr>
      <w:r>
        <w:rPr>
          <w:rFonts w:ascii="Times New Roman" w:hAnsi="Times New Roman"/>
          <w:b/>
          <w:i/>
          <w:sz w:val="24"/>
        </w:rPr>
        <w:t>2.2  População e amostra</w:t>
      </w:r>
    </w:p>
    <w:p>
      <w:pPr>
        <w:spacing w:line="360" w:lineRule="auto" w:after="0"/>
        <w:ind w:firstLine="709"/>
        <w:jc w:val="both"/>
      </w:pPr>
      <w:r>
        <w:rPr>
          <w:rFonts w:ascii="Times New Roman" w:hAnsi="Times New Roman"/>
          <w:i w:val="0"/>
          <w:sz w:val="24"/>
        </w:rPr>
        <w:t>Participaram 27 atletas do sexo masculino de uma equipe de handebol de elite, todos integrantes do elenco principal durante a pré-temporada. A Tabela 1 resume as características do grupo. A amostra reúne as quatro funções táticas da modalidade, o que permite descrever também as diferenças por posição.</w:t>
      </w:r>
    </w:p>
    <w:p>
      <w:pPr>
        <w:spacing w:before="200" w:after="40"/>
      </w:pPr>
      <w:r>
        <w:rPr>
          <w:rFonts w:ascii="Times New Roman" w:hAnsi="Times New Roman"/>
          <w:b/>
          <w:sz w:val="22"/>
        </w:rPr>
        <w:t>Tabela 1. Caracterização da amostra (n = 27 atletas do sexo masculino).</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Característica</w:t>
            </w:r>
          </w:p>
        </w:tc>
        <w:tc>
          <w:tcPr>
            <w:tcW w:type="dxa" w:w="3211"/>
            <w:tcBorders>
              <w:top w:val="single" w:sz="6" w:color="000000"/>
              <w:bottom w:val="single" w:sz="6" w:color="000000"/>
            </w:tcBorders>
          </w:tcPr>
          <w:p>
            <w:pPr>
              <w:jc w:val="center"/>
            </w:pPr>
            <w:r/>
            <w:r>
              <w:rPr>
                <w:rFonts w:ascii="Times New Roman" w:hAnsi="Times New Roman"/>
                <w:b/>
                <w:sz w:val="17"/>
              </w:rPr>
              <w:t>Média ± DP</w:t>
            </w:r>
          </w:p>
        </w:tc>
        <w:tc>
          <w:tcPr>
            <w:tcW w:type="dxa" w:w="3211"/>
            <w:tcBorders>
              <w:top w:val="single" w:sz="6" w:color="000000"/>
              <w:bottom w:val="single" w:sz="6" w:color="000000"/>
            </w:tcBorders>
          </w:tcPr>
          <w:p>
            <w:pPr>
              <w:jc w:val="center"/>
            </w:pPr>
            <w:r/>
            <w:r>
              <w:rPr>
                <w:rFonts w:ascii="Times New Roman" w:hAnsi="Times New Roman"/>
                <w:b/>
                <w:sz w:val="17"/>
              </w:rPr>
              <w:t>Mín. – Máx.</w:t>
            </w:r>
          </w:p>
        </w:tc>
      </w:tr>
      <w:tr>
        <w:tc>
          <w:tcPr>
            <w:tcW w:type="dxa" w:w="3211"/>
            <w:tcBorders>
              <w:top w:val="single" w:sz="6" w:color="000000"/>
              <w:bottom w:val="single" w:sz="6" w:color="000000"/>
            </w:tcBorders>
          </w:tcPr>
          <w:p>
            <w:pPr>
              <w:jc w:val="left"/>
            </w:pPr>
            <w:r/>
            <w:r>
              <w:rPr>
                <w:rFonts w:ascii="Times New Roman" w:hAnsi="Times New Roman"/>
                <w:sz w:val="17"/>
              </w:rPr>
              <w:t>Idade (anos)</w:t>
            </w:r>
          </w:p>
        </w:tc>
        <w:tc>
          <w:tcPr>
            <w:tcW w:type="dxa" w:w="3211"/>
            <w:tcBorders>
              <w:top w:val="single" w:sz="6" w:color="000000"/>
              <w:bottom w:val="single" w:sz="6" w:color="000000"/>
            </w:tcBorders>
          </w:tcPr>
          <w:p>
            <w:pPr>
              <w:jc w:val="center"/>
            </w:pPr>
            <w:r/>
            <w:r>
              <w:rPr>
                <w:rFonts w:ascii="Times New Roman" w:hAnsi="Times New Roman"/>
                <w:sz w:val="17"/>
              </w:rPr>
              <w:t>22,0 ± 3,8</w:t>
            </w:r>
          </w:p>
        </w:tc>
        <w:tc>
          <w:tcPr>
            <w:tcW w:type="dxa" w:w="3211"/>
            <w:tcBorders>
              <w:top w:val="single" w:sz="6" w:color="000000"/>
              <w:bottom w:val="single" w:sz="6" w:color="000000"/>
            </w:tcBorders>
          </w:tcPr>
          <w:p>
            <w:pPr>
              <w:jc w:val="center"/>
            </w:pPr>
            <w:r/>
            <w:r>
              <w:rPr>
                <w:rFonts w:ascii="Times New Roman" w:hAnsi="Times New Roman"/>
                <w:sz w:val="17"/>
              </w:rPr>
              <w:t>17 – 38</w:t>
            </w:r>
          </w:p>
        </w:tc>
      </w:tr>
      <w:tr>
        <w:tc>
          <w:tcPr>
            <w:tcW w:type="dxa" w:w="3211"/>
            <w:tcBorders>
              <w:top w:val="single" w:sz="6" w:color="000000"/>
              <w:bottom w:val="single" w:sz="6" w:color="000000"/>
            </w:tcBorders>
          </w:tcPr>
          <w:p>
            <w:pPr>
              <w:jc w:val="left"/>
            </w:pPr>
            <w:r/>
            <w:r>
              <w:rPr>
                <w:rFonts w:ascii="Times New Roman" w:hAnsi="Times New Roman"/>
                <w:sz w:val="17"/>
              </w:rPr>
              <w:t>Massa corporal (kg)</w:t>
            </w:r>
          </w:p>
        </w:tc>
        <w:tc>
          <w:tcPr>
            <w:tcW w:type="dxa" w:w="3211"/>
            <w:tcBorders>
              <w:top w:val="single" w:sz="6" w:color="000000"/>
              <w:bottom w:val="single" w:sz="6" w:color="000000"/>
            </w:tcBorders>
          </w:tcPr>
          <w:p>
            <w:pPr>
              <w:jc w:val="center"/>
            </w:pPr>
            <w:r/>
            <w:r>
              <w:rPr>
                <w:rFonts w:ascii="Times New Roman" w:hAnsi="Times New Roman"/>
                <w:sz w:val="17"/>
              </w:rPr>
              <w:t>85,8 ± 15,7</w:t>
            </w:r>
          </w:p>
        </w:tc>
        <w:tc>
          <w:tcPr>
            <w:tcW w:type="dxa" w:w="3211"/>
            <w:tcBorders>
              <w:top w:val="single" w:sz="6" w:color="000000"/>
              <w:bottom w:val="single" w:sz="6" w:color="000000"/>
            </w:tcBorders>
          </w:tcPr>
          <w:p>
            <w:pPr>
              <w:jc w:val="center"/>
            </w:pPr>
            <w:r/>
            <w:r>
              <w:rPr>
                <w:rFonts w:ascii="Times New Roman" w:hAnsi="Times New Roman"/>
                <w:sz w:val="17"/>
              </w:rPr>
              <w:t>58,8 – 132,6</w:t>
            </w:r>
          </w:p>
        </w:tc>
      </w:tr>
      <w:tr>
        <w:tc>
          <w:tcPr>
            <w:tcW w:type="dxa" w:w="3211"/>
            <w:tcBorders>
              <w:top w:val="single" w:sz="6" w:color="000000"/>
              <w:bottom w:val="single" w:sz="6" w:color="000000"/>
            </w:tcBorders>
          </w:tcPr>
          <w:p>
            <w:pPr>
              <w:jc w:val="left"/>
            </w:pPr>
            <w:r/>
            <w:r>
              <w:rPr>
                <w:rFonts w:ascii="Times New Roman" w:hAnsi="Times New Roman"/>
                <w:sz w:val="17"/>
              </w:rPr>
              <w:t>Estatura (cm)</w:t>
            </w:r>
          </w:p>
        </w:tc>
        <w:tc>
          <w:tcPr>
            <w:tcW w:type="dxa" w:w="3211"/>
            <w:tcBorders>
              <w:top w:val="single" w:sz="6" w:color="000000"/>
              <w:bottom w:val="single" w:sz="6" w:color="000000"/>
            </w:tcBorders>
          </w:tcPr>
          <w:p>
            <w:pPr>
              <w:jc w:val="center"/>
            </w:pPr>
            <w:r/>
            <w:r>
              <w:rPr>
                <w:rFonts w:ascii="Times New Roman" w:hAnsi="Times New Roman"/>
                <w:sz w:val="17"/>
              </w:rPr>
              <w:t>182,5 ± 6,5</w:t>
            </w:r>
          </w:p>
        </w:tc>
        <w:tc>
          <w:tcPr>
            <w:tcW w:type="dxa" w:w="3211"/>
            <w:tcBorders>
              <w:top w:val="single" w:sz="6" w:color="000000"/>
              <w:bottom w:val="single" w:sz="6" w:color="000000"/>
            </w:tcBorders>
          </w:tcPr>
          <w:p>
            <w:pPr>
              <w:jc w:val="center"/>
            </w:pPr>
            <w:r/>
            <w:r>
              <w:rPr>
                <w:rFonts w:ascii="Times New Roman" w:hAnsi="Times New Roman"/>
                <w:sz w:val="17"/>
              </w:rPr>
              <w:t>170,8 – 200,0</w:t>
            </w:r>
          </w:p>
        </w:tc>
      </w:tr>
      <w:tr>
        <w:tc>
          <w:tcPr>
            <w:tcW w:type="dxa" w:w="3211"/>
            <w:tcBorders>
              <w:top w:val="single" w:sz="6" w:color="000000"/>
              <w:bottom w:val="single" w:sz="6" w:color="000000"/>
            </w:tcBorders>
          </w:tcPr>
          <w:p>
            <w:pPr>
              <w:jc w:val="left"/>
            </w:pPr>
            <w:r/>
            <w:r>
              <w:rPr>
                <w:rFonts w:ascii="Times New Roman" w:hAnsi="Times New Roman"/>
                <w:sz w:val="17"/>
              </w:rPr>
              <w:t>Índice de massa corporal (kg/m²)</w:t>
            </w:r>
          </w:p>
        </w:tc>
        <w:tc>
          <w:tcPr>
            <w:tcW w:type="dxa" w:w="3211"/>
            <w:tcBorders>
              <w:top w:val="single" w:sz="6" w:color="000000"/>
              <w:bottom w:val="single" w:sz="6" w:color="000000"/>
            </w:tcBorders>
          </w:tcPr>
          <w:p>
            <w:pPr>
              <w:jc w:val="center"/>
            </w:pPr>
            <w:r/>
            <w:r>
              <w:rPr>
                <w:rFonts w:ascii="Times New Roman" w:hAnsi="Times New Roman"/>
                <w:sz w:val="17"/>
              </w:rPr>
              <w:t>25,7 ± 3,6</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Gordura corporal (%)</w:t>
            </w:r>
          </w:p>
        </w:tc>
        <w:tc>
          <w:tcPr>
            <w:tcW w:type="dxa" w:w="3211"/>
            <w:tcBorders>
              <w:top w:val="single" w:sz="6" w:color="000000"/>
              <w:bottom w:val="single" w:sz="6" w:color="000000"/>
            </w:tcBorders>
          </w:tcPr>
          <w:p>
            <w:pPr>
              <w:jc w:val="center"/>
            </w:pPr>
            <w:r/>
            <w:r>
              <w:rPr>
                <w:rFonts w:ascii="Times New Roman" w:hAnsi="Times New Roman"/>
                <w:sz w:val="17"/>
              </w:rPr>
              <w:t>11,6 ± 5,3</w:t>
            </w:r>
          </w:p>
        </w:tc>
        <w:tc>
          <w:tcPr>
            <w:tcW w:type="dxa" w:w="3211"/>
            <w:tcBorders>
              <w:top w:val="single" w:sz="6" w:color="000000"/>
              <w:bottom w:val="single" w:sz="6" w:color="000000"/>
            </w:tcBorders>
          </w:tcPr>
          <w:p>
            <w:pPr>
              <w:jc w:val="center"/>
            </w:pPr>
            <w:r/>
            <w:r>
              <w:rPr>
                <w:rFonts w:ascii="Times New Roman" w:hAnsi="Times New Roman"/>
                <w:sz w:val="17"/>
              </w:rPr>
              <w:t>5,0 – 25,0</w:t>
            </w:r>
          </w:p>
        </w:tc>
      </w:tr>
      <w:tr>
        <w:tc>
          <w:tcPr>
            <w:tcW w:type="dxa" w:w="3211"/>
            <w:tcBorders>
              <w:top w:val="single" w:sz="6" w:color="000000"/>
              <w:bottom w:val="single" w:sz="6" w:color="000000"/>
            </w:tcBorders>
          </w:tcPr>
          <w:p>
            <w:pPr>
              <w:jc w:val="left"/>
            </w:pPr>
            <w:r/>
            <w:r>
              <w:rPr>
                <w:rFonts w:ascii="Times New Roman" w:hAnsi="Times New Roman"/>
                <w:sz w:val="17"/>
              </w:rPr>
              <w:t>Pico de velocidade no T-car (km/h)</w:t>
            </w:r>
          </w:p>
        </w:tc>
        <w:tc>
          <w:tcPr>
            <w:tcW w:type="dxa" w:w="3211"/>
            <w:tcBorders>
              <w:top w:val="single" w:sz="6" w:color="000000"/>
              <w:bottom w:val="single" w:sz="6" w:color="000000"/>
            </w:tcBorders>
          </w:tcPr>
          <w:p>
            <w:pPr>
              <w:jc w:val="center"/>
            </w:pPr>
            <w:r/>
            <w:r>
              <w:rPr>
                <w:rFonts w:ascii="Times New Roman" w:hAnsi="Times New Roman"/>
                <w:sz w:val="17"/>
              </w:rPr>
              <w:t>14,9 ± 1,1</w:t>
            </w:r>
          </w:p>
        </w:tc>
        <w:tc>
          <w:tcPr>
            <w:tcW w:type="dxa" w:w="3211"/>
            <w:tcBorders>
              <w:top w:val="single" w:sz="6" w:color="000000"/>
              <w:bottom w:val="single" w:sz="6" w:color="000000"/>
            </w:tcBorders>
          </w:tcPr>
          <w:p>
            <w:pPr>
              <w:jc w:val="center"/>
            </w:pPr>
            <w:r/>
            <w:r>
              <w:rPr>
                <w:rFonts w:ascii="Times New Roman" w:hAnsi="Times New Roman"/>
                <w:sz w:val="17"/>
              </w:rPr>
              <w:t>13,2 – 17,5</w:t>
            </w:r>
          </w:p>
        </w:tc>
      </w:tr>
    </w:tbl>
    <w:p>
      <w:pPr>
        <w:spacing w:after="120"/>
      </w:pPr>
      <w:r>
        <w:rPr>
          <w:rFonts w:ascii="Times New Roman" w:hAnsi="Times New Roman"/>
          <w:i/>
          <w:sz w:val="17"/>
        </w:rPr>
        <w:t>DP: desvio-padrão. Posições: 11 meias, 9 pontas, 4 pivôs e 3 goleiros. Medidas antropométricas e do T-car disponíveis para 24 a 25 atletas.</w:t>
      </w:r>
    </w:p>
    <w:p>
      <w:pPr>
        <w:spacing w:before="200" w:after="60"/>
      </w:pPr>
      <w:r>
        <w:rPr>
          <w:rFonts w:ascii="Times New Roman" w:hAnsi="Times New Roman"/>
          <w:b/>
          <w:i/>
          <w:sz w:val="24"/>
        </w:rPr>
        <w:t>2.3  Aspectos éticos</w:t>
      </w:r>
    </w:p>
    <w:p>
      <w:pPr>
        <w:spacing w:line="360" w:lineRule="auto" w:after="0"/>
        <w:ind w:firstLine="709"/>
        <w:jc w:val="both"/>
      </w:pPr>
      <w:r>
        <w:rPr>
          <w:rFonts w:ascii="Times New Roman" w:hAnsi="Times New Roman"/>
          <w:i w:val="0"/>
          <w:sz w:val="24"/>
        </w:rPr>
        <w:t>Antes do início das coletas, a equipe recebeu a explicação detalhada dos procedimentos e dos objetivos do estudo. Todos os atletas concordaram em participar de forma voluntária e assinaram o termo de consentimento livre e esclarecido. A participação não interferiu na rotina de treino, e os dados foram tratados de forma confidencial e anônima.</w:t>
      </w:r>
    </w:p>
    <w:p>
      <w:pPr>
        <w:spacing w:before="200" w:after="60"/>
      </w:pPr>
      <w:r>
        <w:rPr>
          <w:rFonts w:ascii="Times New Roman" w:hAnsi="Times New Roman"/>
          <w:b/>
          <w:i/>
          <w:sz w:val="24"/>
        </w:rPr>
        <w:t>2.4  Desenho do estudo</w:t>
      </w:r>
    </w:p>
    <w:p>
      <w:pPr>
        <w:spacing w:line="360" w:lineRule="auto" w:after="0"/>
        <w:ind w:firstLine="709"/>
        <w:jc w:val="both"/>
      </w:pPr>
      <w:r>
        <w:rPr>
          <w:rFonts w:ascii="Times New Roman" w:hAnsi="Times New Roman"/>
          <w:i w:val="0"/>
          <w:sz w:val="24"/>
        </w:rPr>
        <w:t>O estudo foi organizado em três etapas, resumidas na Figura 1. Na primeira etapa, houve o primeiro contato com a comissão técnica e a equipe, quando foram explicados os procedimentos de coleta e assinado o termo de consentimento. Em seguida, foi realizada uma coleta de familiarização, para que os atletas conhecessem o questionário e o modo de resposta. O teste T-car foi aplicado em 15 de abril de 2024, antes do período de observação, para caracterizar a aptidão aeróbia de cada atleta.</w:t>
      </w:r>
    </w:p>
    <w:p>
      <w:pPr>
        <w:spacing w:line="360" w:lineRule="auto" w:after="0"/>
        <w:ind w:firstLine="709"/>
        <w:jc w:val="both"/>
      </w:pPr>
      <w:r>
        <w:rPr>
          <w:rFonts w:ascii="Times New Roman" w:hAnsi="Times New Roman"/>
          <w:i w:val="0"/>
          <w:sz w:val="24"/>
        </w:rPr>
        <w:t>Na segunda etapa, ocorreu o monitoramento diário durante a última semana de pré-temporada. A coleta do baseline foi feita em 21 de abril de 2024. Nesse dia os atletas não treinaram, de modo que o baseline representa o estado de humor em repouso, livre do efeito imediato de uma sessão. A partir daí, o humor foi registrado duas vezes por dia até o fim da semana: uma coleta pela manhã, antes do treino (momento pré), e uma coleta ao fim do dia, após o treino (momento pós). Essa estrutura de duas medidas diárias permite separar o efeito imediato de cada sessão (a variação da manhã para o fim do dia) do efeito acumulado ao longo dos dias. Os treinos intervalados de alta intensidade concentraram-se nos dias 2, 4 e 7. Na terceira etapa, os desfechos foram organizados em três blocos: estados de humor, aptidão aeróbia e carga interna de treino.</w:t>
      </w:r>
    </w:p>
    <w:p>
      <w:pPr>
        <w:spacing w:before="120"/>
        <w:jc w:val="center"/>
      </w:pPr>
      <w:r>
        <w:drawing>
          <wp:inline xmlns:a="http://schemas.openxmlformats.org/drawingml/2006/main" xmlns:pic="http://schemas.openxmlformats.org/drawingml/2006/picture">
            <wp:extent cx="6120000" cy="3400000"/>
            <wp:docPr id="1" name="Picture 1"/>
            <wp:cNvGraphicFramePr>
              <a:graphicFrameLocks noChangeAspect="1"/>
            </wp:cNvGraphicFramePr>
            <a:graphic>
              <a:graphicData uri="http://schemas.openxmlformats.org/drawingml/2006/picture">
                <pic:pic>
                  <pic:nvPicPr>
                    <pic:cNvPr id="0" name="desenho_estudo.png"/>
                    <pic:cNvPicPr/>
                  </pic:nvPicPr>
                  <pic:blipFill>
                    <a:blip r:embed="rId9"/>
                    <a:stretch>
                      <a:fillRect/>
                    </a:stretch>
                  </pic:blipFill>
                  <pic:spPr>
                    <a:xfrm>
                      <a:off x="0" y="0"/>
                      <a:ext cx="6120000" cy="3400000"/>
                    </a:xfrm>
                    <a:prstGeom prst="rect"/>
                  </pic:spPr>
                </pic:pic>
              </a:graphicData>
            </a:graphic>
          </wp:inline>
        </w:drawing>
      </w:r>
    </w:p>
    <w:p>
      <w:pPr>
        <w:spacing w:after="120"/>
        <w:jc w:val="center"/>
      </w:pPr>
      <w:r>
        <w:rPr>
          <w:rFonts w:ascii="Times New Roman" w:hAnsi="Times New Roman"/>
          <w:sz w:val="21"/>
        </w:rPr>
        <w:t>Figura 1. Desenho do estudo: etapas de preparação, semana de coletas e desfechos analisados.</w:t>
      </w:r>
    </w:p>
    <w:p>
      <w:pPr>
        <w:spacing w:before="200" w:after="60"/>
      </w:pPr>
      <w:r>
        <w:rPr>
          <w:rFonts w:ascii="Times New Roman" w:hAnsi="Times New Roman"/>
          <w:b/>
          <w:i/>
          <w:sz w:val="24"/>
        </w:rPr>
        <w:t>2.5  Instrumentos e medidas</w:t>
      </w:r>
    </w:p>
    <w:p>
      <w:pPr>
        <w:spacing w:line="360" w:lineRule="auto" w:after="0"/>
        <w:ind w:firstLine="709"/>
        <w:jc w:val="both"/>
      </w:pPr>
      <w:r>
        <w:rPr>
          <w:rFonts w:ascii="Times New Roman" w:hAnsi="Times New Roman"/>
          <w:i w:val="0"/>
          <w:sz w:val="24"/>
        </w:rPr>
        <w:t>Estados de humor (BRUMS). O humor foi avaliado pela Escala de Humor de Brunel (BRUMS), composta por 24 itens que descrevem sensações recentes, respondidos em uma escala de zero a quatro. Os itens formam as seis dimensões da escala: vigor, fadiga, tensão, depressão, raiva e confusão. A partir dessas seis dimensões calcula-se a perturbação total do humor (PTH), um índice global que soma as dimensões negativas e subtrai o vigor. Além da escala, foram registradas duas medidas complementares de fadiga percebida, física e mental, para detalhar a natureza do cansaço relatado. O escore de cada dimensão varia de zero a dezesseis: valores altos de vigor indicam energia, e valores altos das dimensões negativas indicam maior desconforto. O questionário foi aplicado de maneira online: os atletas respondiam de forma virtual, pela plataforma Google Forms, a partir de um link enviado nos horários de coleta. Esse formato reduz o tempo de resposta, evita erros de digitação e permite o registro imediato dos dados, sem necessidade de presença física do avaliador.</w:t>
      </w:r>
    </w:p>
    <w:p>
      <w:pPr>
        <w:spacing w:line="360" w:lineRule="auto" w:after="0"/>
        <w:ind w:firstLine="709"/>
        <w:jc w:val="both"/>
      </w:pPr>
      <w:r>
        <w:rPr>
          <w:rFonts w:ascii="Times New Roman" w:hAnsi="Times New Roman"/>
          <w:i w:val="0"/>
          <w:sz w:val="24"/>
        </w:rPr>
        <w:t>Aptidão aeróbia (T-car). A aptidão foi medida pelo teste de Carminatti (T-car), um teste de campo intermitente e progressivo, feito em corridas de vaivém com aumento gradual da velocidade até a exaustão. A variável de interesse é o pico de velocidade, ou seja, a maior velocidade sustentada no teste. O pico de velocidade do T-car é uma medida validada e confiável de aptidão: associa-se fortemente à velocidade correspondente ao consumo máximo de oxigênio (Da Silva et al., 2011), pode ser usado de forma intercambiável com testes contínuos para prescrever treino (Carminatti et al., 2013), reflete a potência aeróbia máxima (Floriano et al., 2016) e relaciona-se ao desempenho físico durante o jogo (Fernandes-da-Silva et al., 2016). Neste estudo, o pico de velocidade foi usado para separar atletas mais aptos de menos aptos e para testar se a aptidão modifica a resposta do humor.</w:t>
      </w:r>
    </w:p>
    <w:p>
      <w:pPr>
        <w:spacing w:line="360" w:lineRule="auto" w:after="0"/>
        <w:ind w:firstLine="709"/>
        <w:jc w:val="both"/>
      </w:pPr>
      <w:r>
        <w:rPr>
          <w:rFonts w:ascii="Times New Roman" w:hAnsi="Times New Roman"/>
          <w:i w:val="0"/>
          <w:sz w:val="24"/>
        </w:rPr>
        <w:t>Carga interna de treino. Nos dias de treino intervalado de alta intensidade, a carga interna foi acompanhada pela frequência cardíaca e pela percepção subjetiva de esforço, indicadores de quanto o organismo foi exigido em cada sessão. Esses dados ajudam a interpretar as variações do humor à luz do esforço realmente imposto ao atleta.</w:t>
      </w:r>
    </w:p>
    <w:p>
      <w:pPr>
        <w:spacing w:before="200" w:after="60"/>
      </w:pPr>
      <w:r>
        <w:rPr>
          <w:rFonts w:ascii="Times New Roman" w:hAnsi="Times New Roman"/>
          <w:b/>
          <w:i/>
          <w:sz w:val="24"/>
        </w:rPr>
        <w:t>2.6  Análise estatística</w:t>
      </w:r>
    </w:p>
    <w:p>
      <w:pPr>
        <w:spacing w:line="360" w:lineRule="auto" w:after="0"/>
        <w:ind w:firstLine="709"/>
        <w:jc w:val="both"/>
      </w:pPr>
      <w:r>
        <w:rPr>
          <w:rFonts w:ascii="Times New Roman" w:hAnsi="Times New Roman"/>
          <w:i w:val="0"/>
          <w:sz w:val="24"/>
        </w:rPr>
        <w:t>A análise foi conduzida em três níveis, do mais simples ao mais elaborado, para que cada etapa seja fácil de acompanhar.</w:t>
      </w:r>
    </w:p>
    <w:p>
      <w:pPr>
        <w:spacing w:line="360" w:lineRule="auto" w:after="0"/>
        <w:ind w:firstLine="709"/>
        <w:jc w:val="both"/>
      </w:pPr>
      <w:r>
        <w:rPr>
          <w:rFonts w:ascii="Times New Roman" w:hAnsi="Times New Roman"/>
          <w:i w:val="0"/>
          <w:sz w:val="24"/>
        </w:rPr>
        <w:t>Nível 1, descritivo. Para cada dimensão do humor foram calculados a média, o desvio-padrão, a mediana, os valores mínimo e máximo e o coeficiente de variação, que expressa a dispersão relativa em porcentagem. Também foi registrada a proporção de respostas iguais a zero, o chamado efeito de piso, comum nas dimensões negativas porque atletas saudáveis tendem a marcar zero na maior parte dos itens.</w:t>
      </w:r>
    </w:p>
    <w:p>
      <w:pPr>
        <w:spacing w:line="360" w:lineRule="auto" w:after="0"/>
        <w:ind w:firstLine="709"/>
        <w:jc w:val="both"/>
      </w:pPr>
      <w:r>
        <w:rPr>
          <w:rFonts w:ascii="Times New Roman" w:hAnsi="Times New Roman"/>
          <w:i w:val="0"/>
          <w:sz w:val="24"/>
        </w:rPr>
        <w:t>Nível 2, exploratório. Foi avaliada a confiabilidade das medidas entre os dias pelo coeficiente de correlação intraclasse (ICC), que indica o quanto os escores de um mesmo atleta são consistentes ao longo do tempo. A partir dele foi calculada a mudança mínima detectável a 95 por cento (MDC95), um limiar prático: só variações acima desse valor podem ser consideradas mudanças reais, e não erro de medida. A classificação do perfil de humor de cada atleta (por exemplo, iceberg ou seus formatos alternativos) foi comparada entre o primeiro e o sétimo dia para descrever a migração de perfis.</w:t>
      </w:r>
    </w:p>
    <w:p>
      <w:pPr>
        <w:spacing w:line="360" w:lineRule="auto" w:after="0"/>
        <w:ind w:firstLine="709"/>
        <w:jc w:val="both"/>
      </w:pPr>
      <w:r>
        <w:rPr>
          <w:rFonts w:ascii="Times New Roman" w:hAnsi="Times New Roman"/>
          <w:i w:val="0"/>
          <w:sz w:val="24"/>
        </w:rPr>
        <w:t>Nível 3, avançado. Como os escores não seguem distribuição normal e há efeito de piso, foram usados testes não paramétricos. O teste de Friedman verificou se cada dimensão mudou ao longo da semana, acompanhado do W de Kendall como tamanho do efeito. O teste de Wilcoxon comparou momentos pareados (por exemplo, primeiro contra sétimo dia, e manhã contra fim de dia), com o tamanho de efeito dz. A relação entre aptidão e humor foi testada pela correlação de Spearman entre o pico de velocidade e tanto o nível quanto a variação do humor. A dinâmica de cada dimensão foi descrita ainda pela suavização das curvas diárias e por suas derivadas: a primeira derivada mostra a velocidade de mudança, e a segunda derivada mostra a aceleração e o ponto de inflexão, isto é, o momento em que a tendência muda de sentido. Adotou-se o nível de significância de 5 por cento.</w:t>
      </w:r>
    </w:p>
    <w:p>
      <w:pPr>
        <w:spacing w:before="280" w:after="80"/>
      </w:pPr>
      <w:r>
        <w:rPr>
          <w:rFonts w:ascii="Times New Roman" w:hAnsi="Times New Roman"/>
          <w:b/>
          <w:sz w:val="25"/>
        </w:rPr>
        <w:t>3  Resultados</w:t>
      </w:r>
    </w:p>
    <w:p>
      <w:pPr>
        <w:spacing w:line="360" w:lineRule="auto" w:after="0"/>
        <w:ind w:firstLine="709"/>
        <w:jc w:val="both"/>
      </w:pPr>
      <w:r>
        <w:rPr>
          <w:rFonts w:ascii="Times New Roman" w:hAnsi="Times New Roman"/>
          <w:i w:val="0"/>
          <w:sz w:val="24"/>
        </w:rPr>
        <w:t>Os resultados são apresentados primeiro em tabelas e gráficos de conjunto e, em seguida, nas figuras individuais de cada dimensão do humor.</w:t>
      </w:r>
    </w:p>
    <w:p>
      <w:pPr>
        <w:spacing w:before="200" w:after="60"/>
      </w:pPr>
      <w:r>
        <w:rPr>
          <w:rFonts w:ascii="Times New Roman" w:hAnsi="Times New Roman"/>
          <w:b/>
          <w:i/>
          <w:sz w:val="24"/>
        </w:rPr>
        <w:t>3.1  Comportamento geral das dimensões do humor</w:t>
      </w:r>
    </w:p>
    <w:p>
      <w:pPr>
        <w:spacing w:before="200" w:after="40"/>
      </w:pPr>
      <w:r>
        <w:rPr>
          <w:rFonts w:ascii="Times New Roman" w:hAnsi="Times New Roman"/>
          <w:b/>
          <w:sz w:val="22"/>
        </w:rPr>
        <w:t>Tabela 2. Estatística descritiva das variáveis de humor na semana (286 observações de 27 atletas).</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Média ± DP</w:t>
            </w:r>
          </w:p>
        </w:tc>
        <w:tc>
          <w:tcPr>
            <w:tcW w:type="dxa" w:w="1204"/>
            <w:tcBorders>
              <w:top w:val="single" w:sz="6" w:color="000000"/>
              <w:bottom w:val="single" w:sz="6" w:color="000000"/>
            </w:tcBorders>
          </w:tcPr>
          <w:p>
            <w:pPr>
              <w:jc w:val="center"/>
            </w:pPr>
            <w:r/>
            <w:r>
              <w:rPr>
                <w:rFonts w:ascii="Times New Roman" w:hAnsi="Times New Roman"/>
                <w:b/>
                <w:sz w:val="17"/>
              </w:rPr>
              <w:t>Mediana</w:t>
            </w:r>
          </w:p>
        </w:tc>
        <w:tc>
          <w:tcPr>
            <w:tcW w:type="dxa" w:w="1204"/>
            <w:tcBorders>
              <w:top w:val="single" w:sz="6" w:color="000000"/>
              <w:bottom w:val="single" w:sz="6" w:color="000000"/>
            </w:tcBorders>
          </w:tcPr>
          <w:p>
            <w:pPr>
              <w:jc w:val="center"/>
            </w:pPr>
            <w:r/>
            <w:r>
              <w:rPr>
                <w:rFonts w:ascii="Times New Roman" w:hAnsi="Times New Roman"/>
                <w:b/>
                <w:sz w:val="17"/>
              </w:rPr>
              <w:t>Mín – Máx</w:t>
            </w:r>
          </w:p>
        </w:tc>
        <w:tc>
          <w:tcPr>
            <w:tcW w:type="dxa" w:w="1204"/>
            <w:tcBorders>
              <w:top w:val="single" w:sz="6" w:color="000000"/>
              <w:bottom w:val="single" w:sz="6" w:color="000000"/>
            </w:tcBorders>
          </w:tcPr>
          <w:p>
            <w:pPr>
              <w:jc w:val="center"/>
            </w:pPr>
            <w:r/>
            <w:r>
              <w:rPr>
                <w:rFonts w:ascii="Times New Roman" w:hAnsi="Times New Roman"/>
                <w:b/>
                <w:sz w:val="17"/>
              </w:rPr>
              <w:t>CV (%)</w:t>
            </w:r>
          </w:p>
        </w:tc>
        <w:tc>
          <w:tcPr>
            <w:tcW w:type="dxa" w:w="1204"/>
            <w:tcBorders>
              <w:top w:val="single" w:sz="6" w:color="000000"/>
              <w:bottom w:val="single" w:sz="6" w:color="000000"/>
            </w:tcBorders>
          </w:tcPr>
          <w:p>
            <w:pPr>
              <w:jc w:val="center"/>
            </w:pPr>
            <w:r/>
            <w:r>
              <w:rPr>
                <w:rFonts w:ascii="Times New Roman" w:hAnsi="Times New Roman"/>
                <w:b/>
                <w:sz w:val="17"/>
              </w:rPr>
              <w:t>Piso (%)</w:t>
            </w:r>
          </w:p>
        </w:tc>
        <w:tc>
          <w:tcPr>
            <w:tcW w:type="dxa" w:w="1204"/>
            <w:tcBorders>
              <w:top w:val="single" w:sz="6" w:color="000000"/>
              <w:bottom w:val="single" w:sz="6" w:color="000000"/>
            </w:tcBorders>
          </w:tcPr>
          <w:p>
            <w:pPr>
              <w:jc w:val="center"/>
            </w:pPr>
            <w:r/>
            <w:r>
              <w:rPr>
                <w:rFonts w:ascii="Times New Roman" w:hAnsi="Times New Roman"/>
                <w:b/>
                <w:sz w:val="17"/>
              </w:rPr>
              <w:t>ICC</w:t>
            </w:r>
          </w:p>
        </w:tc>
        <w:tc>
          <w:tcPr>
            <w:tcW w:type="dxa" w:w="1204"/>
            <w:tcBorders>
              <w:top w:val="single" w:sz="6" w:color="000000"/>
              <w:bottom w:val="single" w:sz="6" w:color="000000"/>
            </w:tcBorders>
          </w:tcPr>
          <w:p>
            <w:pPr>
              <w:jc w:val="center"/>
            </w:pPr>
            <w:r/>
            <w:r>
              <w:rPr>
                <w:rFonts w:ascii="Times New Roman" w:hAnsi="Times New Roman"/>
                <w:b/>
                <w:sz w:val="17"/>
              </w:rPr>
              <w:t>MDC95</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5,67 ± 3,3</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15</w:t>
            </w:r>
          </w:p>
        </w:tc>
        <w:tc>
          <w:tcPr>
            <w:tcW w:type="dxa" w:w="1204"/>
            <w:tcBorders>
              <w:top w:val="single" w:sz="6" w:color="000000"/>
              <w:bottom w:val="single" w:sz="6" w:color="000000"/>
            </w:tcBorders>
          </w:tcPr>
          <w:p>
            <w:pPr>
              <w:jc w:val="center"/>
            </w:pPr>
            <w:r/>
            <w:r>
              <w:rPr>
                <w:rFonts w:ascii="Times New Roman" w:hAnsi="Times New Roman"/>
                <w:sz w:val="17"/>
              </w:rPr>
              <w:t>59</w:t>
            </w:r>
          </w:p>
        </w:tc>
        <w:tc>
          <w:tcPr>
            <w:tcW w:type="dxa" w:w="1204"/>
            <w:tcBorders>
              <w:top w:val="single" w:sz="6" w:color="000000"/>
              <w:bottom w:val="single" w:sz="6" w:color="000000"/>
            </w:tcBorders>
          </w:tcPr>
          <w:p>
            <w:pPr>
              <w:jc w:val="center"/>
            </w:pPr>
            <w:r/>
            <w:r>
              <w:rPr>
                <w:rFonts w:ascii="Times New Roman" w:hAnsi="Times New Roman"/>
                <w:sz w:val="17"/>
              </w:rPr>
              <w:t>9</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5,8</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5,46 ± 4,1</w:t>
            </w:r>
          </w:p>
        </w:tc>
        <w:tc>
          <w:tcPr>
            <w:tcW w:type="dxa" w:w="1204"/>
            <w:tcBorders>
              <w:top w:val="single" w:sz="6" w:color="000000"/>
              <w:bottom w:val="single" w:sz="6" w:color="000000"/>
            </w:tcBorders>
          </w:tcPr>
          <w:p>
            <w:pPr>
              <w:jc w:val="center"/>
            </w:pPr>
            <w:r/>
            <w:r>
              <w:rPr>
                <w:rFonts w:ascii="Times New Roman" w:hAnsi="Times New Roman"/>
                <w:sz w:val="17"/>
              </w:rPr>
              <w:t>4,0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0,61</w:t>
            </w:r>
          </w:p>
        </w:tc>
        <w:tc>
          <w:tcPr>
            <w:tcW w:type="dxa" w:w="1204"/>
            <w:tcBorders>
              <w:top w:val="single" w:sz="6" w:color="000000"/>
              <w:bottom w:val="single" w:sz="6" w:color="000000"/>
            </w:tcBorders>
          </w:tcPr>
          <w:p>
            <w:pPr>
              <w:jc w:val="center"/>
            </w:pPr>
            <w:r/>
            <w:r>
              <w:rPr>
                <w:rFonts w:ascii="Times New Roman" w:hAnsi="Times New Roman"/>
                <w:sz w:val="17"/>
              </w:rPr>
              <w:t>6,5</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1,43 ± 1,8</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128</w:t>
            </w:r>
          </w:p>
        </w:tc>
        <w:tc>
          <w:tcPr>
            <w:tcW w:type="dxa" w:w="1204"/>
            <w:tcBorders>
              <w:top w:val="single" w:sz="6" w:color="000000"/>
              <w:bottom w:val="single" w:sz="6" w:color="000000"/>
            </w:tcBorders>
          </w:tcPr>
          <w:p>
            <w:pPr>
              <w:jc w:val="center"/>
            </w:pPr>
            <w:r/>
            <w:r>
              <w:rPr>
                <w:rFonts w:ascii="Times New Roman" w:hAnsi="Times New Roman"/>
                <w:sz w:val="17"/>
              </w:rPr>
              <w:t>46</w:t>
            </w:r>
          </w:p>
        </w:tc>
        <w:tc>
          <w:tcPr>
            <w:tcW w:type="dxa" w:w="1204"/>
            <w:tcBorders>
              <w:top w:val="single" w:sz="6" w:color="000000"/>
              <w:bottom w:val="single" w:sz="6" w:color="000000"/>
            </w:tcBorders>
          </w:tcPr>
          <w:p>
            <w:pPr>
              <w:jc w:val="center"/>
            </w:pPr>
            <w:r/>
            <w:r>
              <w:rPr>
                <w:rFonts w:ascii="Times New Roman" w:hAnsi="Times New Roman"/>
                <w:sz w:val="17"/>
              </w:rPr>
              <w:t>0,64</w:t>
            </w:r>
          </w:p>
        </w:tc>
        <w:tc>
          <w:tcPr>
            <w:tcW w:type="dxa" w:w="1204"/>
            <w:tcBorders>
              <w:top w:val="single" w:sz="6" w:color="000000"/>
              <w:bottom w:val="single" w:sz="6" w:color="000000"/>
            </w:tcBorders>
          </w:tcPr>
          <w:p>
            <w:pPr>
              <w:jc w:val="center"/>
            </w:pPr>
            <w:r/>
            <w:r>
              <w:rPr>
                <w:rFonts w:ascii="Times New Roman" w:hAnsi="Times New Roman"/>
                <w:sz w:val="17"/>
              </w:rPr>
              <w:t>2,8</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1,01 ± 2,4</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233</w:t>
            </w:r>
          </w:p>
        </w:tc>
        <w:tc>
          <w:tcPr>
            <w:tcW w:type="dxa" w:w="1204"/>
            <w:tcBorders>
              <w:top w:val="single" w:sz="6" w:color="000000"/>
              <w:bottom w:val="single" w:sz="6" w:color="000000"/>
            </w:tcBorders>
          </w:tcPr>
          <w:p>
            <w:pPr>
              <w:jc w:val="center"/>
            </w:pPr>
            <w:r/>
            <w:r>
              <w:rPr>
                <w:rFonts w:ascii="Times New Roman" w:hAnsi="Times New Roman"/>
                <w:sz w:val="17"/>
              </w:rPr>
              <w:t>67</w:t>
            </w:r>
          </w:p>
        </w:tc>
        <w:tc>
          <w:tcPr>
            <w:tcW w:type="dxa" w:w="1204"/>
            <w:tcBorders>
              <w:top w:val="single" w:sz="6" w:color="000000"/>
              <w:bottom w:val="single" w:sz="6" w:color="000000"/>
            </w:tcBorders>
          </w:tcPr>
          <w:p>
            <w:pPr>
              <w:jc w:val="center"/>
            </w:pPr>
            <w:r/>
            <w:r>
              <w:rPr>
                <w:rFonts w:ascii="Times New Roman" w:hAnsi="Times New Roman"/>
                <w:sz w:val="17"/>
              </w:rPr>
              <w:t>0,68</w:t>
            </w:r>
          </w:p>
        </w:tc>
        <w:tc>
          <w:tcPr>
            <w:tcW w:type="dxa" w:w="1204"/>
            <w:tcBorders>
              <w:top w:val="single" w:sz="6" w:color="000000"/>
              <w:bottom w:val="single" w:sz="6" w:color="000000"/>
            </w:tcBorders>
          </w:tcPr>
          <w:p>
            <w:pPr>
              <w:jc w:val="center"/>
            </w:pPr>
            <w:r/>
            <w:r>
              <w:rPr>
                <w:rFonts w:ascii="Times New Roman" w:hAnsi="Times New Roman"/>
                <w:sz w:val="17"/>
              </w:rPr>
              <w:t>3,6</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1,64 ± 2,8</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14</w:t>
            </w:r>
          </w:p>
        </w:tc>
        <w:tc>
          <w:tcPr>
            <w:tcW w:type="dxa" w:w="1204"/>
            <w:tcBorders>
              <w:top w:val="single" w:sz="6" w:color="000000"/>
              <w:bottom w:val="single" w:sz="6" w:color="000000"/>
            </w:tcBorders>
          </w:tcPr>
          <w:p>
            <w:pPr>
              <w:jc w:val="center"/>
            </w:pPr>
            <w:r/>
            <w:r>
              <w:rPr>
                <w:rFonts w:ascii="Times New Roman" w:hAnsi="Times New Roman"/>
                <w:sz w:val="17"/>
              </w:rPr>
              <w:t>172</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0,39</w:t>
            </w:r>
          </w:p>
        </w:tc>
        <w:tc>
          <w:tcPr>
            <w:tcW w:type="dxa" w:w="1204"/>
            <w:tcBorders>
              <w:top w:val="single" w:sz="6" w:color="000000"/>
              <w:bottom w:val="single" w:sz="6" w:color="000000"/>
            </w:tcBorders>
          </w:tcPr>
          <w:p>
            <w:pPr>
              <w:jc w:val="center"/>
            </w:pPr>
            <w:r/>
            <w:r>
              <w:rPr>
                <w:rFonts w:ascii="Times New Roman" w:hAnsi="Times New Roman"/>
                <w:sz w:val="17"/>
              </w:rPr>
              <w:t>5,7</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0,51 ± 1,3</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248</w:t>
            </w:r>
          </w:p>
        </w:tc>
        <w:tc>
          <w:tcPr>
            <w:tcW w:type="dxa" w:w="1204"/>
            <w:tcBorders>
              <w:top w:val="single" w:sz="6" w:color="000000"/>
              <w:bottom w:val="single" w:sz="6" w:color="000000"/>
            </w:tcBorders>
          </w:tcPr>
          <w:p>
            <w:pPr>
              <w:jc w:val="center"/>
            </w:pPr>
            <w:r/>
            <w:r>
              <w:rPr>
                <w:rFonts w:ascii="Times New Roman" w:hAnsi="Times New Roman"/>
                <w:sz w:val="17"/>
              </w:rPr>
              <w:t>79</w:t>
            </w:r>
          </w:p>
        </w:tc>
        <w:tc>
          <w:tcPr>
            <w:tcW w:type="dxa" w:w="1204"/>
            <w:tcBorders>
              <w:top w:val="single" w:sz="6" w:color="000000"/>
              <w:bottom w:val="single" w:sz="6" w:color="000000"/>
            </w:tcBorders>
          </w:tcPr>
          <w:p>
            <w:pPr>
              <w:jc w:val="center"/>
            </w:pPr>
            <w:r/>
            <w:r>
              <w:rPr>
                <w:rFonts w:ascii="Times New Roman" w:hAnsi="Times New Roman"/>
                <w:sz w:val="17"/>
              </w:rPr>
              <w:t>0,36</w:t>
            </w:r>
          </w:p>
        </w:tc>
        <w:tc>
          <w:tcPr>
            <w:tcW w:type="dxa" w:w="1204"/>
            <w:tcBorders>
              <w:top w:val="single" w:sz="6" w:color="000000"/>
              <w:bottom w:val="single" w:sz="6" w:color="000000"/>
            </w:tcBorders>
          </w:tcPr>
          <w:p>
            <w:pPr>
              <w:jc w:val="center"/>
            </w:pPr>
            <w:r/>
            <w:r>
              <w:rPr>
                <w:rFonts w:ascii="Times New Roman" w:hAnsi="Times New Roman"/>
                <w:sz w:val="17"/>
              </w:rPr>
              <w:t>2,6</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4,38 ± 10,1</w:t>
            </w:r>
          </w:p>
        </w:tc>
        <w:tc>
          <w:tcPr>
            <w:tcW w:type="dxa" w:w="1204"/>
            <w:tcBorders>
              <w:top w:val="single" w:sz="6" w:color="000000"/>
              <w:bottom w:val="single" w:sz="6" w:color="000000"/>
            </w:tcBorders>
          </w:tcPr>
          <w:p>
            <w:pPr>
              <w:jc w:val="center"/>
            </w:pPr>
            <w:r/>
            <w:r>
              <w:rPr>
                <w:rFonts w:ascii="Times New Roman" w:hAnsi="Times New Roman"/>
                <w:sz w:val="17"/>
              </w:rPr>
              <w:t>2,0</w:t>
            </w:r>
          </w:p>
        </w:tc>
        <w:tc>
          <w:tcPr>
            <w:tcW w:type="dxa" w:w="1204"/>
            <w:tcBorders>
              <w:top w:val="single" w:sz="6" w:color="000000"/>
              <w:bottom w:val="single" w:sz="6" w:color="000000"/>
            </w:tcBorders>
          </w:tcPr>
          <w:p>
            <w:pPr>
              <w:jc w:val="center"/>
            </w:pPr>
            <w:r/>
            <w:r>
              <w:rPr>
                <w:rFonts w:ascii="Times New Roman" w:hAnsi="Times New Roman"/>
                <w:sz w:val="17"/>
              </w:rPr>
              <w:t>-12 – 52</w:t>
            </w:r>
          </w:p>
        </w:tc>
        <w:tc>
          <w:tcPr>
            <w:tcW w:type="dxa" w:w="1204"/>
            <w:tcBorders>
              <w:top w:val="single" w:sz="6" w:color="000000"/>
              <w:bottom w:val="single" w:sz="6" w:color="000000"/>
            </w:tcBorders>
          </w:tcPr>
          <w:p>
            <w:pPr>
              <w:jc w:val="center"/>
            </w:pPr>
            <w:r/>
            <w:r>
              <w:rPr>
                <w:rFonts w:ascii="Times New Roman" w:hAnsi="Times New Roman"/>
                <w:sz w:val="17"/>
              </w:rPr>
              <w:t>230</w:t>
            </w:r>
          </w:p>
        </w:tc>
        <w:tc>
          <w:tcPr>
            <w:tcW w:type="dxa" w:w="1204"/>
            <w:tcBorders>
              <w:top w:val="single" w:sz="6" w:color="000000"/>
              <w:bottom w:val="single" w:sz="6" w:color="000000"/>
            </w:tcBorders>
          </w:tcPr>
          <w:p>
            <w:pPr>
              <w:jc w:val="center"/>
            </w:pPr>
            <w:r/>
            <w:r>
              <w:rPr>
                <w:rFonts w:ascii="Times New Roman" w:hAnsi="Times New Roman"/>
                <w:sz w:val="17"/>
              </w:rPr>
              <w:t>43</w:t>
            </w:r>
          </w:p>
        </w:tc>
        <w:tc>
          <w:tcPr>
            <w:tcW w:type="dxa" w:w="1204"/>
            <w:tcBorders>
              <w:top w:val="single" w:sz="6" w:color="000000"/>
              <w:bottom w:val="single" w:sz="6" w:color="000000"/>
            </w:tcBorders>
          </w:tcPr>
          <w:p>
            <w:pPr>
              <w:jc w:val="center"/>
            </w:pPr>
            <w:r/>
            <w:r>
              <w:rPr>
                <w:rFonts w:ascii="Times New Roman" w:hAnsi="Times New Roman"/>
                <w:sz w:val="17"/>
              </w:rPr>
              <w:t>0,67</w:t>
            </w:r>
          </w:p>
        </w:tc>
        <w:tc>
          <w:tcPr>
            <w:tcW w:type="dxa" w:w="1204"/>
            <w:tcBorders>
              <w:top w:val="single" w:sz="6" w:color="000000"/>
              <w:bottom w:val="single" w:sz="6" w:color="000000"/>
            </w:tcBorders>
          </w:tcPr>
          <w:p>
            <w:pPr>
              <w:jc w:val="center"/>
            </w:pPr>
            <w:r/>
            <w:r>
              <w:rPr>
                <w:rFonts w:ascii="Times New Roman" w:hAnsi="Times New Roman"/>
                <w:sz w:val="17"/>
              </w:rPr>
              <w:t>15,1</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5,90 ± 2,5</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42</w:t>
            </w:r>
          </w:p>
        </w:tc>
        <w:tc>
          <w:tcPr>
            <w:tcW w:type="dxa" w:w="1204"/>
            <w:tcBorders>
              <w:top w:val="single" w:sz="6" w:color="000000"/>
              <w:bottom w:val="single" w:sz="6" w:color="000000"/>
            </w:tcBorders>
          </w:tcPr>
          <w:p>
            <w:pPr>
              <w:jc w:val="center"/>
            </w:pPr>
            <w:r/>
            <w:r>
              <w:rPr>
                <w:rFonts w:ascii="Times New Roman" w:hAnsi="Times New Roman"/>
                <w:sz w:val="17"/>
              </w:rPr>
              <w:t>1</w:t>
            </w:r>
          </w:p>
        </w:tc>
        <w:tc>
          <w:tcPr>
            <w:tcW w:type="dxa" w:w="1204"/>
            <w:tcBorders>
              <w:top w:val="single" w:sz="6" w:color="000000"/>
              <w:bottom w:val="single" w:sz="6" w:color="000000"/>
            </w:tcBorders>
          </w:tcPr>
          <w:p>
            <w:pPr>
              <w:jc w:val="center"/>
            </w:pPr>
            <w:r/>
            <w:r>
              <w:rPr>
                <w:rFonts w:ascii="Times New Roman" w:hAnsi="Times New Roman"/>
                <w:sz w:val="17"/>
              </w:rPr>
              <w:t>0,47</w:t>
            </w:r>
          </w:p>
        </w:tc>
        <w:tc>
          <w:tcPr>
            <w:tcW w:type="dxa" w:w="1204"/>
            <w:tcBorders>
              <w:top w:val="single" w:sz="6" w:color="000000"/>
              <w:bottom w:val="single" w:sz="6" w:color="000000"/>
            </w:tcBorders>
          </w:tcPr>
          <w:p>
            <w:pPr>
              <w:jc w:val="center"/>
            </w:pPr>
            <w:r/>
            <w:r>
              <w:rPr>
                <w:rFonts w:ascii="Times New Roman" w:hAnsi="Times New Roman"/>
                <w:sz w:val="17"/>
              </w:rPr>
              <w:t>4,7</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4,56 ± 2,8</w:t>
            </w:r>
          </w:p>
        </w:tc>
        <w:tc>
          <w:tcPr>
            <w:tcW w:type="dxa" w:w="1204"/>
            <w:tcBorders>
              <w:top w:val="single" w:sz="6" w:color="000000"/>
              <w:bottom w:val="single" w:sz="6" w:color="000000"/>
            </w:tcBorders>
          </w:tcPr>
          <w:p>
            <w:pPr>
              <w:jc w:val="center"/>
            </w:pPr>
            <w:r/>
            <w:r>
              <w:rPr>
                <w:rFonts w:ascii="Times New Roman" w:hAnsi="Times New Roman"/>
                <w:sz w:val="17"/>
              </w:rPr>
              <w:t>5,0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7</w:t>
            </w:r>
          </w:p>
        </w:tc>
        <w:tc>
          <w:tcPr>
            <w:tcW w:type="dxa" w:w="1204"/>
            <w:tcBorders>
              <w:top w:val="single" w:sz="6" w:color="000000"/>
              <w:bottom w:val="single" w:sz="6" w:color="000000"/>
            </w:tcBorders>
          </w:tcPr>
          <w:p>
            <w:pPr>
              <w:jc w:val="center"/>
            </w:pPr>
            <w:r/>
            <w:r>
              <w:rPr>
                <w:rFonts w:ascii="Times New Roman" w:hAnsi="Times New Roman"/>
                <w:sz w:val="17"/>
              </w:rPr>
              <w:t>0,81</w:t>
            </w:r>
          </w:p>
        </w:tc>
        <w:tc>
          <w:tcPr>
            <w:tcW w:type="dxa" w:w="1204"/>
            <w:tcBorders>
              <w:top w:val="single" w:sz="6" w:color="000000"/>
              <w:bottom w:val="single" w:sz="6" w:color="000000"/>
            </w:tcBorders>
          </w:tcPr>
          <w:p>
            <w:pPr>
              <w:jc w:val="center"/>
            </w:pPr>
            <w:r/>
            <w:r>
              <w:rPr>
                <w:rFonts w:ascii="Times New Roman" w:hAnsi="Times New Roman"/>
                <w:sz w:val="17"/>
              </w:rPr>
              <w:t>3,4</w:t>
            </w:r>
          </w:p>
        </w:tc>
      </w:tr>
    </w:tbl>
    <w:p>
      <w:pPr>
        <w:spacing w:after="120"/>
      </w:pPr>
      <w:r>
        <w:rPr>
          <w:rFonts w:ascii="Times New Roman" w:hAnsi="Times New Roman"/>
          <w:i/>
          <w:sz w:val="17"/>
        </w:rPr>
        <w:t>As seis primeiras linhas são as dimensões do BRUMS; a PTH é um índice global derivado dessas dimensões; fadiga física e fadiga mental são medidas complementares de fadiga percebida. DP: desvio-padrão. CV: coeficiente de variação. Piso: porcentagem de escores iguais a zero. ICC: coeficiente de correlação intraclasse. MDC95: mudança mínima detectável a 95%.</w:t>
      </w:r>
    </w:p>
    <w:p>
      <w:pPr>
        <w:spacing w:line="360" w:lineRule="auto" w:after="0"/>
        <w:ind w:firstLine="709"/>
        <w:jc w:val="both"/>
      </w:pPr>
      <w:r>
        <w:rPr>
          <w:rFonts w:ascii="Times New Roman" w:hAnsi="Times New Roman"/>
          <w:i w:val="0"/>
          <w:sz w:val="24"/>
        </w:rPr>
        <w:t>O Vigor foi a dimensão de maior escore médio, seguido pela fadiga física. As dimensões negativas apresentaram medianas baixas e forte efeito de piso, com destaque para a depressão, em que a maioria dos atletas marcou zero. A confiabilidade entre dias variou de baixa a moderada, coerente com um humor que oscila em resposta ao treino, e os valores de mudança mínima detectável fornecem o limiar prático para julgar se a variação de um atleta é real.</w:t>
      </w:r>
    </w:p>
    <w:p>
      <w:pPr>
        <w:spacing w:before="200" w:after="60"/>
      </w:pPr>
      <w:r>
        <w:rPr>
          <w:rFonts w:ascii="Times New Roman" w:hAnsi="Times New Roman"/>
          <w:b/>
          <w:i/>
          <w:sz w:val="24"/>
        </w:rPr>
        <w:t>3.2  Variação ao longo da semana</w:t>
      </w:r>
    </w:p>
    <w:p>
      <w:pPr>
        <w:spacing w:before="200" w:after="40"/>
      </w:pPr>
      <w:r>
        <w:rPr>
          <w:rFonts w:ascii="Times New Roman" w:hAnsi="Times New Roman"/>
          <w:b/>
          <w:sz w:val="22"/>
        </w:rPr>
        <w:t>Tabela 3. Mudança das dimensões ao longo da semana (Friedman) e do primeiro ao sétimo dia (Wilcoxon).</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Dimensão</w:t>
            </w:r>
          </w:p>
        </w:tc>
        <w:tc>
          <w:tcPr>
            <w:tcW w:type="dxa" w:w="1204"/>
            <w:tcBorders>
              <w:top w:val="single" w:sz="6" w:color="000000"/>
              <w:bottom w:val="single" w:sz="6" w:color="000000"/>
            </w:tcBorders>
          </w:tcPr>
          <w:p>
            <w:pPr>
              <w:jc w:val="center"/>
            </w:pPr>
            <w:r/>
            <w:r>
              <w:rPr>
                <w:rFonts w:ascii="Times New Roman" w:hAnsi="Times New Roman"/>
                <w:b/>
                <w:sz w:val="17"/>
              </w:rPr>
              <w:t>χ² Friedman</w:t>
            </w:r>
          </w:p>
        </w:tc>
        <w:tc>
          <w:tcPr>
            <w:tcW w:type="dxa" w:w="1204"/>
            <w:tcBorders>
              <w:top w:val="single" w:sz="6" w:color="000000"/>
              <w:bottom w:val="single" w:sz="6" w:color="000000"/>
            </w:tcBorders>
          </w:tcPr>
          <w:p>
            <w:pPr>
              <w:jc w:val="center"/>
            </w:pPr>
            <w:r/>
            <w:r>
              <w:rPr>
                <w:rFonts w:ascii="Times New Roman" w:hAnsi="Times New Roman"/>
                <w:b/>
                <w:sz w:val="17"/>
              </w:rPr>
              <w:t>p (semana)</w:t>
            </w:r>
          </w:p>
        </w:tc>
        <w:tc>
          <w:tcPr>
            <w:tcW w:type="dxa" w:w="1204"/>
            <w:tcBorders>
              <w:top w:val="single" w:sz="6" w:color="000000"/>
              <w:bottom w:val="single" w:sz="6" w:color="000000"/>
            </w:tcBorders>
          </w:tcPr>
          <w:p>
            <w:pPr>
              <w:jc w:val="center"/>
            </w:pPr>
            <w:r/>
            <w:r>
              <w:rPr>
                <w:rFonts w:ascii="Times New Roman" w:hAnsi="Times New Roman"/>
                <w:b/>
                <w:sz w:val="17"/>
              </w:rPr>
              <w:t>W</w:t>
            </w:r>
          </w:p>
        </w:tc>
        <w:tc>
          <w:tcPr>
            <w:tcW w:type="dxa" w:w="1204"/>
            <w:tcBorders>
              <w:top w:val="single" w:sz="6" w:color="000000"/>
              <w:bottom w:val="single" w:sz="6" w:color="000000"/>
            </w:tcBorders>
          </w:tcPr>
          <w:p>
            <w:pPr>
              <w:jc w:val="center"/>
            </w:pPr>
            <w:r/>
            <w:r>
              <w:rPr>
                <w:rFonts w:ascii="Times New Roman" w:hAnsi="Times New Roman"/>
                <w:b/>
                <w:sz w:val="17"/>
              </w:rPr>
              <w:t>D1 → D7</w:t>
            </w:r>
          </w:p>
        </w:tc>
        <w:tc>
          <w:tcPr>
            <w:tcW w:type="dxa" w:w="1204"/>
            <w:tcBorders>
              <w:top w:val="single" w:sz="6" w:color="000000"/>
              <w:bottom w:val="single" w:sz="6" w:color="000000"/>
            </w:tcBorders>
          </w:tcPr>
          <w:p>
            <w:pPr>
              <w:jc w:val="center"/>
            </w:pPr>
            <w:r/>
            <w:r>
              <w:rPr>
                <w:rFonts w:ascii="Times New Roman" w:hAnsi="Times New Roman"/>
                <w:b/>
                <w:sz w:val="17"/>
              </w:rPr>
              <w:t>Δ</w:t>
            </w:r>
          </w:p>
        </w:tc>
        <w:tc>
          <w:tcPr>
            <w:tcW w:type="dxa" w:w="1204"/>
            <w:tcBorders>
              <w:top w:val="single" w:sz="6" w:color="000000"/>
              <w:bottom w:val="single" w:sz="6" w:color="000000"/>
            </w:tcBorders>
          </w:tcPr>
          <w:p>
            <w:pPr>
              <w:jc w:val="center"/>
            </w:pPr>
            <w:r/>
            <w:r>
              <w:rPr>
                <w:rFonts w:ascii="Times New Roman" w:hAnsi="Times New Roman"/>
                <w:b/>
                <w:sz w:val="17"/>
              </w:rPr>
              <w:t>dz</w:t>
            </w:r>
          </w:p>
        </w:tc>
        <w:tc>
          <w:tcPr>
            <w:tcW w:type="dxa" w:w="1204"/>
            <w:tcBorders>
              <w:top w:val="single" w:sz="6" w:color="000000"/>
              <w:bottom w:val="single" w:sz="6" w:color="000000"/>
            </w:tcBorders>
          </w:tcPr>
          <w:p>
            <w:pPr>
              <w:jc w:val="center"/>
            </w:pPr>
            <w:r/>
            <w:r>
              <w:rPr>
                <w:rFonts w:ascii="Times New Roman" w:hAnsi="Times New Roman"/>
                <w:b/>
                <w:sz w:val="17"/>
              </w:rPr>
              <w:t>p (D1→D7)</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23,61</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0,21</w:t>
            </w:r>
          </w:p>
        </w:tc>
        <w:tc>
          <w:tcPr>
            <w:tcW w:type="dxa" w:w="1204"/>
            <w:tcBorders>
              <w:top w:val="single" w:sz="6" w:color="000000"/>
              <w:bottom w:val="single" w:sz="6" w:color="000000"/>
            </w:tcBorders>
          </w:tcPr>
          <w:p>
            <w:pPr>
              <w:jc w:val="center"/>
            </w:pPr>
            <w:r/>
            <w:r>
              <w:rPr>
                <w:rFonts w:ascii="Times New Roman" w:hAnsi="Times New Roman"/>
                <w:sz w:val="17"/>
              </w:rPr>
              <w:t>8,4 → 4,3</w:t>
            </w:r>
          </w:p>
        </w:tc>
        <w:tc>
          <w:tcPr>
            <w:tcW w:type="dxa" w:w="1204"/>
            <w:tcBorders>
              <w:top w:val="single" w:sz="6" w:color="000000"/>
              <w:bottom w:val="single" w:sz="6" w:color="000000"/>
            </w:tcBorders>
          </w:tcPr>
          <w:p>
            <w:pPr>
              <w:jc w:val="center"/>
            </w:pPr>
            <w:r/>
            <w:r>
              <w:rPr>
                <w:rFonts w:ascii="Times New Roman" w:hAnsi="Times New Roman"/>
                <w:sz w:val="17"/>
              </w:rPr>
              <w:t>-4,1</w:t>
            </w:r>
          </w:p>
        </w:tc>
        <w:tc>
          <w:tcPr>
            <w:tcW w:type="dxa" w:w="1204"/>
            <w:tcBorders>
              <w:top w:val="single" w:sz="6" w:color="000000"/>
              <w:bottom w:val="single" w:sz="6" w:color="000000"/>
            </w:tcBorders>
          </w:tcPr>
          <w:p>
            <w:pPr>
              <w:jc w:val="center"/>
            </w:pPr>
            <w:r/>
            <w:r>
              <w:rPr>
                <w:rFonts w:ascii="Times New Roman" w:hAnsi="Times New Roman"/>
                <w:sz w:val="17"/>
              </w:rPr>
              <w:t>-1,33</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17,86</w:t>
            </w:r>
          </w:p>
        </w:tc>
        <w:tc>
          <w:tcPr>
            <w:tcW w:type="dxa" w:w="1204"/>
            <w:tcBorders>
              <w:top w:val="single" w:sz="6" w:color="000000"/>
              <w:bottom w:val="single" w:sz="6" w:color="000000"/>
            </w:tcBorders>
          </w:tcPr>
          <w:p>
            <w:pPr>
              <w:jc w:val="center"/>
            </w:pPr>
            <w:r/>
            <w:r>
              <w:rPr>
                <w:rFonts w:ascii="Times New Roman" w:hAnsi="Times New Roman"/>
                <w:sz w:val="17"/>
              </w:rPr>
              <w:t>0,007</w:t>
            </w:r>
          </w:p>
        </w:tc>
        <w:tc>
          <w:tcPr>
            <w:tcW w:type="dxa" w:w="1204"/>
            <w:tcBorders>
              <w:top w:val="single" w:sz="6" w:color="000000"/>
              <w:bottom w:val="single" w:sz="6" w:color="000000"/>
            </w:tcBorders>
          </w:tcPr>
          <w:p>
            <w:pPr>
              <w:jc w:val="center"/>
            </w:pPr>
            <w:r/>
            <w:r>
              <w:rPr>
                <w:rFonts w:ascii="Times New Roman" w:hAnsi="Times New Roman"/>
                <w:sz w:val="17"/>
              </w:rPr>
              <w:t>0,16</w:t>
            </w:r>
          </w:p>
        </w:tc>
        <w:tc>
          <w:tcPr>
            <w:tcW w:type="dxa" w:w="1204"/>
            <w:tcBorders>
              <w:top w:val="single" w:sz="6" w:color="000000"/>
              <w:bottom w:val="single" w:sz="6" w:color="000000"/>
            </w:tcBorders>
          </w:tcPr>
          <w:p>
            <w:pPr>
              <w:jc w:val="center"/>
            </w:pPr>
            <w:r/>
            <w:r>
              <w:rPr>
                <w:rFonts w:ascii="Times New Roman" w:hAnsi="Times New Roman"/>
                <w:sz w:val="17"/>
              </w:rPr>
              <w:t>3,4 → 7,4</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+0,78</w:t>
            </w:r>
          </w:p>
        </w:tc>
        <w:tc>
          <w:tcPr>
            <w:tcW w:type="dxa" w:w="1204"/>
            <w:tcBorders>
              <w:top w:val="single" w:sz="6" w:color="000000"/>
              <w:bottom w:val="single" w:sz="6" w:color="000000"/>
            </w:tcBorders>
          </w:tcPr>
          <w:p>
            <w:pPr>
              <w:jc w:val="center"/>
            </w:pPr>
            <w:r/>
            <w:r>
              <w:rPr>
                <w:rFonts w:ascii="Times New Roman" w:hAnsi="Times New Roman"/>
                <w:sz w:val="17"/>
              </w:rPr>
              <w:t>0,003*</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14,49</w:t>
            </w:r>
          </w:p>
        </w:tc>
        <w:tc>
          <w:tcPr>
            <w:tcW w:type="dxa" w:w="1204"/>
            <w:tcBorders>
              <w:top w:val="single" w:sz="6" w:color="000000"/>
              <w:bottom w:val="single" w:sz="6" w:color="000000"/>
            </w:tcBorders>
          </w:tcPr>
          <w:p>
            <w:pPr>
              <w:jc w:val="center"/>
            </w:pPr>
            <w:r/>
            <w:r>
              <w:rPr>
                <w:rFonts w:ascii="Times New Roman" w:hAnsi="Times New Roman"/>
                <w:sz w:val="17"/>
              </w:rPr>
              <w:t>0,025</w:t>
            </w:r>
          </w:p>
        </w:tc>
        <w:tc>
          <w:tcPr>
            <w:tcW w:type="dxa" w:w="1204"/>
            <w:tcBorders>
              <w:top w:val="single" w:sz="6" w:color="000000"/>
              <w:bottom w:val="single" w:sz="6" w:color="000000"/>
            </w:tcBorders>
          </w:tcPr>
          <w:p>
            <w:pPr>
              <w:jc w:val="center"/>
            </w:pPr>
            <w:r/>
            <w:r>
              <w:rPr>
                <w:rFonts w:ascii="Times New Roman" w:hAnsi="Times New Roman"/>
                <w:sz w:val="17"/>
              </w:rPr>
              <w:t>0,13</w:t>
            </w:r>
          </w:p>
        </w:tc>
        <w:tc>
          <w:tcPr>
            <w:tcW w:type="dxa" w:w="1204"/>
            <w:tcBorders>
              <w:top w:val="single" w:sz="6" w:color="000000"/>
              <w:bottom w:val="single" w:sz="6" w:color="000000"/>
            </w:tcBorders>
          </w:tcPr>
          <w:p>
            <w:pPr>
              <w:jc w:val="center"/>
            </w:pPr>
            <w:r/>
            <w:r>
              <w:rPr>
                <w:rFonts w:ascii="Times New Roman" w:hAnsi="Times New Roman"/>
                <w:sz w:val="17"/>
              </w:rPr>
              <w:t>2,2 → 0,9</w:t>
            </w:r>
          </w:p>
        </w:tc>
        <w:tc>
          <w:tcPr>
            <w:tcW w:type="dxa" w:w="1204"/>
            <w:tcBorders>
              <w:top w:val="single" w:sz="6" w:color="000000"/>
              <w:bottom w:val="single" w:sz="6" w:color="000000"/>
            </w:tcBorders>
          </w:tcPr>
          <w:p>
            <w:pPr>
              <w:jc w:val="center"/>
            </w:pPr>
            <w:r/>
            <w:r>
              <w:rPr>
                <w:rFonts w:ascii="Times New Roman" w:hAnsi="Times New Roman"/>
                <w:sz w:val="17"/>
              </w:rPr>
              <w:t>-1,3</w:t>
            </w:r>
          </w:p>
        </w:tc>
        <w:tc>
          <w:tcPr>
            <w:tcW w:type="dxa" w:w="1204"/>
            <w:tcBorders>
              <w:top w:val="single" w:sz="6" w:color="000000"/>
              <w:bottom w:val="single" w:sz="6" w:color="000000"/>
            </w:tcBorders>
          </w:tcPr>
          <w:p>
            <w:pPr>
              <w:jc w:val="center"/>
            </w:pPr>
            <w:r/>
            <w:r>
              <w:rPr>
                <w:rFonts w:ascii="Times New Roman" w:hAnsi="Times New Roman"/>
                <w:sz w:val="17"/>
              </w:rPr>
              <w:t>-0,60</w:t>
            </w:r>
          </w:p>
        </w:tc>
        <w:tc>
          <w:tcPr>
            <w:tcW w:type="dxa" w:w="1204"/>
            <w:tcBorders>
              <w:top w:val="single" w:sz="6" w:color="000000"/>
              <w:bottom w:val="single" w:sz="6" w:color="000000"/>
            </w:tcBorders>
          </w:tcPr>
          <w:p>
            <w:pPr>
              <w:jc w:val="center"/>
            </w:pPr>
            <w:r/>
            <w:r>
              <w:rPr>
                <w:rFonts w:ascii="Times New Roman" w:hAnsi="Times New Roman"/>
                <w:sz w:val="17"/>
              </w:rPr>
              <w:t>0,011*</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3,45</w:t>
            </w:r>
          </w:p>
        </w:tc>
        <w:tc>
          <w:tcPr>
            <w:tcW w:type="dxa" w:w="1204"/>
            <w:tcBorders>
              <w:top w:val="single" w:sz="6" w:color="000000"/>
              <w:bottom w:val="single" w:sz="6" w:color="000000"/>
            </w:tcBorders>
          </w:tcPr>
          <w:p>
            <w:pPr>
              <w:jc w:val="center"/>
            </w:pPr>
            <w:r/>
            <w:r>
              <w:rPr>
                <w:rFonts w:ascii="Times New Roman" w:hAnsi="Times New Roman"/>
                <w:sz w:val="17"/>
              </w:rPr>
              <w:t>0,751</w:t>
            </w:r>
          </w:p>
        </w:tc>
        <w:tc>
          <w:tcPr>
            <w:tcW w:type="dxa" w:w="1204"/>
            <w:tcBorders>
              <w:top w:val="single" w:sz="6" w:color="000000"/>
              <w:bottom w:val="single" w:sz="6" w:color="000000"/>
            </w:tcBorders>
          </w:tcPr>
          <w:p>
            <w:pPr>
              <w:jc w:val="center"/>
            </w:pPr>
            <w:r/>
            <w:r>
              <w:rPr>
                <w:rFonts w:ascii="Times New Roman" w:hAnsi="Times New Roman"/>
                <w:sz w:val="17"/>
              </w:rPr>
              <w:t>0,03</w:t>
            </w:r>
          </w:p>
        </w:tc>
        <w:tc>
          <w:tcPr>
            <w:tcW w:type="dxa" w:w="1204"/>
            <w:tcBorders>
              <w:top w:val="single" w:sz="6" w:color="000000"/>
              <w:bottom w:val="single" w:sz="6" w:color="000000"/>
            </w:tcBorders>
          </w:tcPr>
          <w:p>
            <w:pPr>
              <w:jc w:val="center"/>
            </w:pPr>
            <w:r/>
            <w:r>
              <w:rPr>
                <w:rFonts w:ascii="Times New Roman" w:hAnsi="Times New Roman"/>
                <w:sz w:val="17"/>
              </w:rPr>
              <w:t>0,5 → 1,3</w:t>
            </w:r>
          </w:p>
        </w:tc>
        <w:tc>
          <w:tcPr>
            <w:tcW w:type="dxa" w:w="1204"/>
            <w:tcBorders>
              <w:top w:val="single" w:sz="6" w:color="000000"/>
              <w:bottom w:val="single" w:sz="6" w:color="000000"/>
            </w:tcBorders>
          </w:tcPr>
          <w:p>
            <w:pPr>
              <w:jc w:val="center"/>
            </w:pPr>
            <w:r/>
            <w:r>
              <w:rPr>
                <w:rFonts w:ascii="Times New Roman" w:hAnsi="Times New Roman"/>
                <w:sz w:val="17"/>
              </w:rPr>
              <w:t>+0,8</w:t>
            </w:r>
          </w:p>
        </w:tc>
        <w:tc>
          <w:tcPr>
            <w:tcW w:type="dxa" w:w="1204"/>
            <w:tcBorders>
              <w:top w:val="single" w:sz="6" w:color="000000"/>
              <w:bottom w:val="single" w:sz="6" w:color="000000"/>
            </w:tcBorders>
          </w:tcPr>
          <w:p>
            <w:pPr>
              <w:jc w:val="center"/>
            </w:pPr>
            <w:r/>
            <w:r>
              <w:rPr>
                <w:rFonts w:ascii="Times New Roman" w:hAnsi="Times New Roman"/>
                <w:sz w:val="17"/>
              </w:rPr>
              <w:t>+0,22</w:t>
            </w:r>
          </w:p>
        </w:tc>
        <w:tc>
          <w:tcPr>
            <w:tcW w:type="dxa" w:w="1204"/>
            <w:tcBorders>
              <w:top w:val="single" w:sz="6" w:color="000000"/>
              <w:bottom w:val="single" w:sz="6" w:color="000000"/>
            </w:tcBorders>
          </w:tcPr>
          <w:p>
            <w:pPr>
              <w:jc w:val="center"/>
            </w:pPr>
            <w:r/>
            <w:r>
              <w:rPr>
                <w:rFonts w:ascii="Times New Roman" w:hAnsi="Times New Roman"/>
                <w:sz w:val="17"/>
              </w:rPr>
              <w:t>0,504</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7,88</w:t>
            </w:r>
          </w:p>
        </w:tc>
        <w:tc>
          <w:tcPr>
            <w:tcW w:type="dxa" w:w="1204"/>
            <w:tcBorders>
              <w:top w:val="single" w:sz="6" w:color="000000"/>
              <w:bottom w:val="single" w:sz="6" w:color="000000"/>
            </w:tcBorders>
          </w:tcPr>
          <w:p>
            <w:pPr>
              <w:jc w:val="center"/>
            </w:pPr>
            <w:r/>
            <w:r>
              <w:rPr>
                <w:rFonts w:ascii="Times New Roman" w:hAnsi="Times New Roman"/>
                <w:sz w:val="17"/>
              </w:rPr>
              <w:t>0,247</w:t>
            </w:r>
          </w:p>
        </w:tc>
        <w:tc>
          <w:tcPr>
            <w:tcW w:type="dxa" w:w="1204"/>
            <w:tcBorders>
              <w:top w:val="single" w:sz="6" w:color="000000"/>
              <w:bottom w:val="single" w:sz="6" w:color="000000"/>
            </w:tcBorders>
          </w:tcPr>
          <w:p>
            <w:pPr>
              <w:jc w:val="center"/>
            </w:pPr>
            <w:r/>
            <w:r>
              <w:rPr>
                <w:rFonts w:ascii="Times New Roman" w:hAnsi="Times New Roman"/>
                <w:sz w:val="17"/>
              </w:rPr>
              <w:t>0,07</w:t>
            </w:r>
          </w:p>
        </w:tc>
        <w:tc>
          <w:tcPr>
            <w:tcW w:type="dxa" w:w="1204"/>
            <w:tcBorders>
              <w:top w:val="single" w:sz="6" w:color="000000"/>
              <w:bottom w:val="single" w:sz="6" w:color="000000"/>
            </w:tcBorders>
          </w:tcPr>
          <w:p>
            <w:pPr>
              <w:jc w:val="center"/>
            </w:pPr>
            <w:r/>
            <w:r>
              <w:rPr>
                <w:rFonts w:ascii="Times New Roman" w:hAnsi="Times New Roman"/>
                <w:sz w:val="17"/>
              </w:rPr>
              <w:t>2,2 → 2,6</w:t>
            </w:r>
          </w:p>
        </w:tc>
        <w:tc>
          <w:tcPr>
            <w:tcW w:type="dxa" w:w="1204"/>
            <w:tcBorders>
              <w:top w:val="single" w:sz="6" w:color="000000"/>
              <w:bottom w:val="single" w:sz="6" w:color="000000"/>
            </w:tcBorders>
          </w:tcPr>
          <w:p>
            <w:pPr>
              <w:jc w:val="center"/>
            </w:pPr>
            <w:r/>
            <w:r>
              <w:rPr>
                <w:rFonts w:ascii="Times New Roman" w:hAnsi="Times New Roman"/>
                <w:sz w:val="17"/>
              </w:rPr>
              <w:t>+0,5</w:t>
            </w:r>
          </w:p>
        </w:tc>
        <w:tc>
          <w:tcPr>
            <w:tcW w:type="dxa" w:w="1204"/>
            <w:tcBorders>
              <w:top w:val="single" w:sz="6" w:color="000000"/>
              <w:bottom w:val="single" w:sz="6" w:color="000000"/>
            </w:tcBorders>
          </w:tcPr>
          <w:p>
            <w:pPr>
              <w:jc w:val="center"/>
            </w:pPr>
            <w:r/>
            <w:r>
              <w:rPr>
                <w:rFonts w:ascii="Times New Roman" w:hAnsi="Times New Roman"/>
                <w:sz w:val="17"/>
              </w:rPr>
              <w:t>+0,09</w:t>
            </w:r>
          </w:p>
        </w:tc>
        <w:tc>
          <w:tcPr>
            <w:tcW w:type="dxa" w:w="1204"/>
            <w:tcBorders>
              <w:top w:val="single" w:sz="6" w:color="000000"/>
              <w:bottom w:val="single" w:sz="6" w:color="000000"/>
            </w:tcBorders>
          </w:tcPr>
          <w:p>
            <w:pPr>
              <w:jc w:val="center"/>
            </w:pPr>
            <w:r/>
            <w:r>
              <w:rPr>
                <w:rFonts w:ascii="Times New Roman" w:hAnsi="Times New Roman"/>
                <w:sz w:val="17"/>
              </w:rPr>
              <w:t>0,875</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22,94</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0,20</w:t>
            </w:r>
          </w:p>
        </w:tc>
        <w:tc>
          <w:tcPr>
            <w:tcW w:type="dxa" w:w="1204"/>
            <w:tcBorders>
              <w:top w:val="single" w:sz="6" w:color="000000"/>
              <w:bottom w:val="single" w:sz="6" w:color="000000"/>
            </w:tcBorders>
          </w:tcPr>
          <w:p>
            <w:pPr>
              <w:jc w:val="center"/>
            </w:pPr>
            <w:r/>
            <w:r>
              <w:rPr>
                <w:rFonts w:ascii="Times New Roman" w:hAnsi="Times New Roman"/>
                <w:sz w:val="17"/>
              </w:rPr>
              <w:t>1,2 → 0,5</w:t>
            </w:r>
          </w:p>
        </w:tc>
        <w:tc>
          <w:tcPr>
            <w:tcW w:type="dxa" w:w="1204"/>
            <w:tcBorders>
              <w:top w:val="single" w:sz="6" w:color="000000"/>
              <w:bottom w:val="single" w:sz="6" w:color="000000"/>
            </w:tcBorders>
          </w:tcPr>
          <w:p>
            <w:pPr>
              <w:jc w:val="center"/>
            </w:pPr>
            <w:r/>
            <w:r>
              <w:rPr>
                <w:rFonts w:ascii="Times New Roman" w:hAnsi="Times New Roman"/>
                <w:sz w:val="17"/>
              </w:rPr>
              <w:t>-0,7</w:t>
            </w:r>
          </w:p>
        </w:tc>
        <w:tc>
          <w:tcPr>
            <w:tcW w:type="dxa" w:w="1204"/>
            <w:tcBorders>
              <w:top w:val="single" w:sz="6" w:color="000000"/>
              <w:bottom w:val="single" w:sz="6" w:color="000000"/>
            </w:tcBorders>
          </w:tcPr>
          <w:p>
            <w:pPr>
              <w:jc w:val="center"/>
            </w:pPr>
            <w:r/>
            <w:r>
              <w:rPr>
                <w:rFonts w:ascii="Times New Roman" w:hAnsi="Times New Roman"/>
                <w:sz w:val="17"/>
              </w:rPr>
              <w:t>-0,57</w:t>
            </w:r>
          </w:p>
        </w:tc>
        <w:tc>
          <w:tcPr>
            <w:tcW w:type="dxa" w:w="1204"/>
            <w:tcBorders>
              <w:top w:val="single" w:sz="6" w:color="000000"/>
              <w:bottom w:val="single" w:sz="6" w:color="000000"/>
            </w:tcBorders>
          </w:tcPr>
          <w:p>
            <w:pPr>
              <w:jc w:val="center"/>
            </w:pPr>
            <w:r/>
            <w:r>
              <w:rPr>
                <w:rFonts w:ascii="Times New Roman" w:hAnsi="Times New Roman"/>
                <w:sz w:val="17"/>
              </w:rPr>
              <w:t>0,020*</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13,84</w:t>
            </w:r>
          </w:p>
        </w:tc>
        <w:tc>
          <w:tcPr>
            <w:tcW w:type="dxa" w:w="1204"/>
            <w:tcBorders>
              <w:top w:val="single" w:sz="6" w:color="000000"/>
              <w:bottom w:val="single" w:sz="6" w:color="000000"/>
            </w:tcBorders>
          </w:tcPr>
          <w:p>
            <w:pPr>
              <w:jc w:val="center"/>
            </w:pPr>
            <w:r/>
            <w:r>
              <w:rPr>
                <w:rFonts w:ascii="Times New Roman" w:hAnsi="Times New Roman"/>
                <w:sz w:val="17"/>
              </w:rPr>
              <w:t>0,032</w:t>
            </w:r>
          </w:p>
        </w:tc>
        <w:tc>
          <w:tcPr>
            <w:tcW w:type="dxa" w:w="1204"/>
            <w:tcBorders>
              <w:top w:val="single" w:sz="6" w:color="000000"/>
              <w:bottom w:val="single" w:sz="6" w:color="000000"/>
            </w:tcBorders>
          </w:tcPr>
          <w:p>
            <w:pPr>
              <w:jc w:val="center"/>
            </w:pPr>
            <w:r/>
            <w:r>
              <w:rPr>
                <w:rFonts w:ascii="Times New Roman" w:hAnsi="Times New Roman"/>
                <w:sz w:val="17"/>
              </w:rPr>
              <w:t>0,12</w:t>
            </w:r>
          </w:p>
        </w:tc>
        <w:tc>
          <w:tcPr>
            <w:tcW w:type="dxa" w:w="1204"/>
            <w:tcBorders>
              <w:top w:val="single" w:sz="6" w:color="000000"/>
              <w:bottom w:val="single" w:sz="6" w:color="000000"/>
            </w:tcBorders>
          </w:tcPr>
          <w:p>
            <w:pPr>
              <w:jc w:val="center"/>
            </w:pPr>
            <w:r/>
            <w:r>
              <w:rPr>
                <w:rFonts w:ascii="Times New Roman" w:hAnsi="Times New Roman"/>
                <w:sz w:val="17"/>
              </w:rPr>
              <w:t>1,1 → 8,5</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+0,55</w:t>
            </w:r>
          </w:p>
        </w:tc>
        <w:tc>
          <w:tcPr>
            <w:tcW w:type="dxa" w:w="1204"/>
            <w:tcBorders>
              <w:top w:val="single" w:sz="6" w:color="000000"/>
              <w:bottom w:val="single" w:sz="6" w:color="000000"/>
            </w:tcBorders>
          </w:tcPr>
          <w:p>
            <w:pPr>
              <w:jc w:val="center"/>
            </w:pPr>
            <w:r/>
            <w:r>
              <w:rPr>
                <w:rFonts w:ascii="Times New Roman" w:hAnsi="Times New Roman"/>
                <w:sz w:val="17"/>
              </w:rPr>
              <w:t>0,018*</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51,30</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0,45</w:t>
            </w:r>
          </w:p>
        </w:tc>
        <w:tc>
          <w:tcPr>
            <w:tcW w:type="dxa" w:w="1204"/>
            <w:tcBorders>
              <w:top w:val="single" w:sz="6" w:color="000000"/>
              <w:bottom w:val="single" w:sz="6" w:color="000000"/>
            </w:tcBorders>
          </w:tcPr>
          <w:p>
            <w:pPr>
              <w:jc w:val="center"/>
            </w:pPr>
            <w:r/>
            <w:r>
              <w:rPr>
                <w:rFonts w:ascii="Times New Roman" w:hAnsi="Times New Roman"/>
                <w:sz w:val="17"/>
              </w:rPr>
              <w:t>3,6 → 7,5</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+1,88</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8,79</w:t>
            </w:r>
          </w:p>
        </w:tc>
        <w:tc>
          <w:tcPr>
            <w:tcW w:type="dxa" w:w="1204"/>
            <w:tcBorders>
              <w:top w:val="single" w:sz="6" w:color="000000"/>
              <w:bottom w:val="single" w:sz="6" w:color="000000"/>
            </w:tcBorders>
          </w:tcPr>
          <w:p>
            <w:pPr>
              <w:jc w:val="center"/>
            </w:pPr>
            <w:r/>
            <w:r>
              <w:rPr>
                <w:rFonts w:ascii="Times New Roman" w:hAnsi="Times New Roman"/>
                <w:sz w:val="17"/>
              </w:rPr>
              <w:t>0,186</w:t>
            </w:r>
          </w:p>
        </w:tc>
        <w:tc>
          <w:tcPr>
            <w:tcW w:type="dxa" w:w="1204"/>
            <w:tcBorders>
              <w:top w:val="single" w:sz="6" w:color="000000"/>
              <w:bottom w:val="single" w:sz="6" w:color="000000"/>
            </w:tcBorders>
          </w:tcPr>
          <w:p>
            <w:pPr>
              <w:jc w:val="center"/>
            </w:pPr>
            <w:r/>
            <w:r>
              <w:rPr>
                <w:rFonts w:ascii="Times New Roman" w:hAnsi="Times New Roman"/>
                <w:sz w:val="17"/>
              </w:rPr>
              <w:t>0,08</w:t>
            </w:r>
          </w:p>
        </w:tc>
        <w:tc>
          <w:tcPr>
            <w:tcW w:type="dxa" w:w="1204"/>
            <w:tcBorders>
              <w:top w:val="single" w:sz="6" w:color="000000"/>
              <w:bottom w:val="single" w:sz="6" w:color="000000"/>
            </w:tcBorders>
          </w:tcPr>
          <w:p>
            <w:pPr>
              <w:jc w:val="center"/>
            </w:pPr>
            <w:r/>
            <w:r>
              <w:rPr>
                <w:rFonts w:ascii="Times New Roman" w:hAnsi="Times New Roman"/>
                <w:sz w:val="17"/>
              </w:rPr>
              <w:t>4,1 → 5,0</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0,031*</w:t>
            </w:r>
          </w:p>
        </w:tc>
      </w:tr>
    </w:tbl>
    <w:p>
      <w:pPr>
        <w:spacing w:after="120"/>
      </w:pPr>
      <w:r>
        <w:rPr>
          <w:rFonts w:ascii="Times New Roman" w:hAnsi="Times New Roman"/>
          <w:i/>
          <w:sz w:val="17"/>
        </w:rPr>
        <w:t>χ²: qui-quadrado de Friedman. W: W de Kendall. Δ: variação do escore do D1 ao D7. dz: tamanho de efeito pareado. * p &lt; 0,05.</w:t>
      </w:r>
    </w:p>
    <w:p>
      <w:pPr>
        <w:spacing w:line="360" w:lineRule="auto" w:after="0"/>
        <w:ind w:firstLine="709"/>
        <w:jc w:val="both"/>
      </w:pPr>
      <w:r>
        <w:rPr>
          <w:rFonts w:ascii="Times New Roman" w:hAnsi="Times New Roman"/>
          <w:i w:val="0"/>
          <w:sz w:val="24"/>
        </w:rPr>
        <w:t>Cinco dimensões mudaram de forma significativa ao longo da semana: vigor, fadiga, tensão, confusão, PTH e, com o maior tamanho de efeito, a fadiga física. O padrão é consistente: o vigor caiu de maneira acentuada e as dimensões de fadiga aumentaram. A depressão, a raiva e a fadiga mental permaneceram estáveis, o que reforça a leitura de que a semana produziu perda de energia e acúmulo de fadiga física, e não um quadro de humor negativo generalizado.</w:t>
      </w:r>
    </w:p>
    <w:p>
      <w:pPr>
        <w:spacing w:before="200" w:after="60"/>
      </w:pPr>
      <w:r>
        <w:rPr>
          <w:rFonts w:ascii="Times New Roman" w:hAnsi="Times New Roman"/>
          <w:b/>
          <w:i/>
          <w:sz w:val="24"/>
        </w:rPr>
        <w:t>3.3  Efeito imediato e efeito acumulado</w:t>
      </w:r>
    </w:p>
    <w:p>
      <w:pPr>
        <w:spacing w:line="360" w:lineRule="auto" w:after="0"/>
        <w:ind w:firstLine="709"/>
        <w:jc w:val="both"/>
      </w:pPr>
      <w:r>
        <w:rPr>
          <w:rFonts w:ascii="Times New Roman" w:hAnsi="Times New Roman"/>
          <w:i w:val="0"/>
          <w:sz w:val="24"/>
        </w:rPr>
        <w:t>A Figura 2 separa, para cada dimensão, o efeito imediato de cada sessão (variação da manhã para o fim do dia) do efeito acumulado ao longo dos dias. A leitura confirma que a mudança do vigor e da fadiga física foi predominantemente acumulada: o desgaste se somou dia após dia, mais do que se explicou por uma única sessão.</w:t>
      </w:r>
    </w:p>
    <w:p>
      <w:pPr>
        <w:spacing w:before="120"/>
        <w:jc w:val="center"/>
      </w:pPr>
      <w:r>
        <w:drawing>
          <wp:inline xmlns:a="http://schemas.openxmlformats.org/drawingml/2006/main" xmlns:pic="http://schemas.openxmlformats.org/drawingml/2006/picture">
            <wp:extent cx="5940000" cy="2930400"/>
            <wp:docPr id="2" name="Picture 2"/>
            <wp:cNvGraphicFramePr>
              <a:graphicFrameLocks noChangeAspect="1"/>
            </wp:cNvGraphicFramePr>
            <a:graphic>
              <a:graphicData uri="http://schemas.openxmlformats.org/drawingml/2006/picture">
                <pic:pic>
                  <pic:nvPicPr>
                    <pic:cNvPr id="0" name="temporal_agudo_cronico.png"/>
                    <pic:cNvPicPr/>
                  </pic:nvPicPr>
                  <pic:blipFill>
                    <a:blip r:embed="rId10"/>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2. Efeito agudo (variação intradia, da manhã ao fim do dia) versus efeito crônico (do primeiro ao sétimo dia) por dimensão. O asterisco indica variação semanal significativa.</w:t>
      </w:r>
    </w:p>
    <w:p>
      <w:pPr>
        <w:spacing w:line="360" w:lineRule="auto" w:after="0"/>
        <w:ind w:firstLine="709"/>
        <w:jc w:val="both"/>
      </w:pPr>
      <w:r>
        <w:rPr>
          <w:rFonts w:ascii="Times New Roman" w:hAnsi="Times New Roman"/>
          <w:i w:val="0"/>
          <w:sz w:val="24"/>
        </w:rPr>
        <w:t>A Figura 3 mostra, em um único mapa, onde e quanto cada dimensão mudou em cada transição da semana, com a distinção entre as transições de estímulo (da manhã ao fim do dia) e as de recuperação (do fim de um dia ao início do dia seguinte). As cores indicam a direção e a intensidade da mudança, e os asteriscos marcam as transições estatisticamente significativas.</w:t>
      </w:r>
    </w:p>
    <w:p>
      <w:pPr>
        <w:spacing w:before="120"/>
        <w:jc w:val="center"/>
      </w:pPr>
      <w:r>
        <w:drawing>
          <wp:inline xmlns:a="http://schemas.openxmlformats.org/drawingml/2006/main" xmlns:pic="http://schemas.openxmlformats.org/drawingml/2006/picture">
            <wp:extent cx="6120000" cy="2736000"/>
            <wp:docPr id="3" name="Picture 3"/>
            <wp:cNvGraphicFramePr>
              <a:graphicFrameLocks noChangeAspect="1"/>
            </wp:cNvGraphicFramePr>
            <a:graphic>
              <a:graphicData uri="http://schemas.openxmlformats.org/drawingml/2006/picture">
                <pic:pic>
                  <pic:nvPicPr>
                    <pic:cNvPr id="0" name="temporal_map.png"/>
                    <pic:cNvPicPr/>
                  </pic:nvPicPr>
                  <pic:blipFill>
                    <a:blip r:embed="rId11"/>
                    <a:stretch>
                      <a:fillRect/>
                    </a:stretch>
                  </pic:blipFill>
                  <pic:spPr>
                    <a:xfrm>
                      <a:off x="0" y="0"/>
                      <a:ext cx="6120000" cy="2736000"/>
                    </a:xfrm>
                    <a:prstGeom prst="rect"/>
                  </pic:spPr>
                </pic:pic>
              </a:graphicData>
            </a:graphic>
          </wp:inline>
        </w:drawing>
      </w:r>
    </w:p>
    <w:p>
      <w:pPr>
        <w:spacing w:after="120"/>
        <w:jc w:val="center"/>
      </w:pPr>
      <w:r>
        <w:rPr>
          <w:rFonts w:ascii="Times New Roman" w:hAnsi="Times New Roman"/>
          <w:sz w:val="21"/>
        </w:rPr>
        <w:t>Figura 3. Mapa temporal das dimensões do humor: tamanho de efeito (dz) de cada transição da semana. A = transição de estímulo (manhã para fim de dia); R = transição de recuperação (fim de um dia para início do seguinte); * p &lt; 0,05.</w:t>
      </w:r>
    </w:p>
    <w:p>
      <w:pPr>
        <w:spacing w:before="200" w:after="60"/>
      </w:pPr>
      <w:r>
        <w:rPr>
          <w:rFonts w:ascii="Times New Roman" w:hAnsi="Times New Roman"/>
          <w:b/>
          <w:i/>
          <w:sz w:val="24"/>
        </w:rPr>
        <w:t>3.4  Migração dos perfis de humor</w:t>
      </w:r>
    </w:p>
    <w:p>
      <w:pPr>
        <w:spacing w:before="200" w:after="40"/>
      </w:pPr>
      <w:r>
        <w:rPr>
          <w:rFonts w:ascii="Times New Roman" w:hAnsi="Times New Roman"/>
          <w:b/>
          <w:sz w:val="22"/>
        </w:rPr>
        <w:t>Tabela 4. Distribuição dos perfis de humor no primeiro e no sétimo dia.</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8"/>
              </w:rPr>
              <w:t>Perfil de humor</w:t>
            </w:r>
          </w:p>
        </w:tc>
        <w:tc>
          <w:tcPr>
            <w:tcW w:type="dxa" w:w="3211"/>
            <w:tcBorders>
              <w:top w:val="single" w:sz="6" w:color="000000"/>
              <w:bottom w:val="single" w:sz="6" w:color="000000"/>
            </w:tcBorders>
          </w:tcPr>
          <w:p>
            <w:pPr>
              <w:jc w:val="center"/>
            </w:pPr>
            <w:r/>
            <w:r>
              <w:rPr>
                <w:rFonts w:ascii="Times New Roman" w:hAnsi="Times New Roman"/>
                <w:b/>
                <w:sz w:val="18"/>
              </w:rPr>
              <w:t>D1 (atletas)</w:t>
            </w:r>
          </w:p>
        </w:tc>
        <w:tc>
          <w:tcPr>
            <w:tcW w:type="dxa" w:w="3211"/>
            <w:tcBorders>
              <w:top w:val="single" w:sz="6" w:color="000000"/>
              <w:bottom w:val="single" w:sz="6" w:color="000000"/>
            </w:tcBorders>
          </w:tcPr>
          <w:p>
            <w:pPr>
              <w:jc w:val="center"/>
            </w:pPr>
            <w:r/>
            <w:r>
              <w:rPr>
                <w:rFonts w:ascii="Times New Roman" w:hAnsi="Times New Roman"/>
                <w:b/>
                <w:sz w:val="18"/>
              </w:rPr>
              <w:t>D7 (atletas)</w:t>
            </w:r>
          </w:p>
        </w:tc>
      </w:tr>
      <w:tr>
        <w:tc>
          <w:tcPr>
            <w:tcW w:type="dxa" w:w="3211"/>
            <w:tcBorders>
              <w:top w:val="single" w:sz="6" w:color="000000"/>
              <w:bottom w:val="single" w:sz="6" w:color="000000"/>
            </w:tcBorders>
          </w:tcPr>
          <w:p>
            <w:pPr>
              <w:jc w:val="left"/>
            </w:pPr>
            <w:r/>
            <w:r>
              <w:rPr>
                <w:rFonts w:ascii="Times New Roman" w:hAnsi="Times New Roman"/>
                <w:sz w:val="18"/>
              </w:rPr>
              <w:t>Barbatana tubarão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6</w:t>
            </w:r>
          </w:p>
        </w:tc>
      </w:tr>
      <w:tr>
        <w:tc>
          <w:tcPr>
            <w:tcW w:type="dxa" w:w="3211"/>
            <w:tcBorders>
              <w:top w:val="single" w:sz="6" w:color="000000"/>
              <w:bottom w:val="single" w:sz="6" w:color="000000"/>
            </w:tcBorders>
          </w:tcPr>
          <w:p>
            <w:pPr>
              <w:jc w:val="left"/>
            </w:pPr>
            <w:r/>
            <w:r>
              <w:rPr>
                <w:rFonts w:ascii="Times New Roman" w:hAnsi="Times New Roman"/>
                <w:sz w:val="18"/>
              </w:rPr>
              <w:t>Everest invertido</w:t>
            </w:r>
          </w:p>
        </w:tc>
        <w:tc>
          <w:tcPr>
            <w:tcW w:type="dxa" w:w="3211"/>
            <w:tcBorders>
              <w:top w:val="single" w:sz="6" w:color="000000"/>
              <w:bottom w:val="single" w:sz="6" w:color="000000"/>
            </w:tcBorders>
          </w:tcPr>
          <w:p>
            <w:pPr>
              <w:jc w:val="center"/>
            </w:pPr>
            <w:r/>
            <w:r>
              <w:rPr>
                <w:rFonts w:ascii="Times New Roman" w:hAnsi="Times New Roman"/>
                <w:sz w:val="18"/>
              </w:rPr>
              <w:t>4</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Iceberg</w:t>
            </w:r>
          </w:p>
        </w:tc>
        <w:tc>
          <w:tcPr>
            <w:tcW w:type="dxa" w:w="3211"/>
            <w:tcBorders>
              <w:top w:val="single" w:sz="6" w:color="000000"/>
              <w:bottom w:val="single" w:sz="6" w:color="000000"/>
            </w:tcBorders>
          </w:tcPr>
          <w:p>
            <w:pPr>
              <w:jc w:val="center"/>
            </w:pPr>
            <w:r/>
            <w:r>
              <w:rPr>
                <w:rFonts w:ascii="Times New Roman" w:hAnsi="Times New Roman"/>
                <w:sz w:val="18"/>
              </w:rPr>
              <w:t>13</w:t>
            </w:r>
          </w:p>
        </w:tc>
        <w:tc>
          <w:tcPr>
            <w:tcW w:type="dxa" w:w="3211"/>
            <w:tcBorders>
              <w:top w:val="single" w:sz="6" w:color="000000"/>
              <w:bottom w:val="single" w:sz="6" w:color="000000"/>
            </w:tcBorders>
          </w:tcPr>
          <w:p>
            <w:pPr>
              <w:jc w:val="center"/>
            </w:pPr>
            <w:r/>
            <w:r>
              <w:rPr>
                <w:rFonts w:ascii="Times New Roman" w:hAnsi="Times New Roman"/>
                <w:sz w:val="18"/>
              </w:rPr>
              <w:t>4</w:t>
            </w:r>
          </w:p>
        </w:tc>
      </w:tr>
      <w:tr>
        <w:tc>
          <w:tcPr>
            <w:tcW w:type="dxa" w:w="3211"/>
            <w:tcBorders>
              <w:top w:val="single" w:sz="6" w:color="000000"/>
              <w:bottom w:val="single" w:sz="6" w:color="000000"/>
            </w:tcBorders>
          </w:tcPr>
          <w:p>
            <w:pPr>
              <w:jc w:val="left"/>
            </w:pPr>
            <w:r/>
            <w:r>
              <w:rPr>
                <w:rFonts w:ascii="Times New Roman" w:hAnsi="Times New Roman"/>
                <w:sz w:val="18"/>
              </w:rPr>
              <w:t>Iceberg invertido</w:t>
            </w:r>
          </w:p>
        </w:tc>
        <w:tc>
          <w:tcPr>
            <w:tcW w:type="dxa" w:w="3211"/>
            <w:tcBorders>
              <w:top w:val="single" w:sz="6" w:color="000000"/>
              <w:bottom w:val="single" w:sz="6" w:color="000000"/>
            </w:tcBorders>
          </w:tcPr>
          <w:p>
            <w:pPr>
              <w:jc w:val="center"/>
            </w:pPr>
            <w:r/>
            <w:r>
              <w:rPr>
                <w:rFonts w:ascii="Times New Roman" w:hAnsi="Times New Roman"/>
                <w:sz w:val="18"/>
              </w:rPr>
              <w:t>2</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Submerso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3</w:t>
            </w:r>
          </w:p>
        </w:tc>
      </w:tr>
      <w:tr>
        <w:tc>
          <w:tcPr>
            <w:tcW w:type="dxa" w:w="3211"/>
            <w:tcBorders>
              <w:top w:val="single" w:sz="6" w:color="000000"/>
              <w:bottom w:val="single" w:sz="6" w:color="000000"/>
            </w:tcBorders>
          </w:tcPr>
          <w:p>
            <w:pPr>
              <w:jc w:val="left"/>
            </w:pPr>
            <w:r/>
            <w:r>
              <w:rPr>
                <w:rFonts w:ascii="Times New Roman" w:hAnsi="Times New Roman"/>
                <w:sz w:val="18"/>
              </w:rPr>
              <w:t>Superfície</w:t>
            </w:r>
          </w:p>
        </w:tc>
        <w:tc>
          <w:tcPr>
            <w:tcW w:type="dxa" w:w="3211"/>
            <w:tcBorders>
              <w:top w:val="single" w:sz="6" w:color="000000"/>
              <w:bottom w:val="single" w:sz="6" w:color="000000"/>
            </w:tcBorders>
          </w:tcPr>
          <w:p>
            <w:pPr>
              <w:jc w:val="center"/>
            </w:pPr>
            <w:r/>
            <w:r>
              <w:rPr>
                <w:rFonts w:ascii="Times New Roman" w:hAnsi="Times New Roman"/>
                <w:sz w:val="18"/>
              </w:rPr>
              <w:t>6</w:t>
            </w:r>
          </w:p>
        </w:tc>
        <w:tc>
          <w:tcPr>
            <w:tcW w:type="dxa" w:w="3211"/>
            <w:tcBorders>
              <w:top w:val="single" w:sz="6" w:color="000000"/>
              <w:bottom w:val="single" w:sz="6" w:color="000000"/>
            </w:tcBorders>
          </w:tcPr>
          <w:p>
            <w:pPr>
              <w:jc w:val="center"/>
            </w:pPr>
            <w:r/>
            <w:r>
              <w:rPr>
                <w:rFonts w:ascii="Times New Roman" w:hAnsi="Times New Roman"/>
                <w:sz w:val="18"/>
              </w:rPr>
              <w:t>4</w:t>
            </w:r>
          </w:p>
        </w:tc>
      </w:tr>
    </w:tbl>
    <w:p>
      <w:pPr>
        <w:spacing w:after="120"/>
      </w:pPr>
      <w:r>
        <w:rPr>
          <w:rFonts w:ascii="Times New Roman" w:hAnsi="Times New Roman"/>
          <w:i/>
          <w:sz w:val="17"/>
        </w:rPr>
        <w:t>Perfis classificados a partir das dimensões do BRUMS.</w:t>
      </w:r>
    </w:p>
    <w:p>
      <w:pPr>
        <w:spacing w:line="360" w:lineRule="auto" w:after="0"/>
        <w:ind w:firstLine="709"/>
        <w:jc w:val="both"/>
      </w:pPr>
      <w:r>
        <w:rPr>
          <w:rFonts w:ascii="Times New Roman" w:hAnsi="Times New Roman"/>
          <w:i w:val="0"/>
          <w:sz w:val="24"/>
        </w:rPr>
        <w:t>No primeiro dia predominou o perfil iceberg, típico de atletas bem recuperados, com o vigor acima das dimensões negativas. Ao longo da semana, 16 dos 21 atletas com classificação nos dois momentos migraram para outro perfil, e apenas 5 permaneceram estáveis. No sétimo dia, o perfil mais frequente passou a ser o de barbatana de tubarão, marcado pela queda do vigor. Essa migração traduz, em linguagem de perfil, a mesma perda de energia observada nas análises anteriores.</w:t>
      </w:r>
    </w:p>
    <w:p>
      <w:pPr>
        <w:spacing w:before="200" w:after="60"/>
      </w:pPr>
      <w:r>
        <w:rPr>
          <w:rFonts w:ascii="Times New Roman" w:hAnsi="Times New Roman"/>
          <w:b/>
          <w:i/>
          <w:sz w:val="24"/>
        </w:rPr>
        <w:t>3.5  Aptidão aeróbia e humor</w:t>
      </w:r>
    </w:p>
    <w:p>
      <w:pPr>
        <w:spacing w:before="200" w:after="40"/>
      </w:pPr>
      <w:r>
        <w:rPr>
          <w:rFonts w:ascii="Times New Roman" w:hAnsi="Times New Roman"/>
          <w:b/>
          <w:sz w:val="22"/>
        </w:rPr>
        <w:t>Tabela 5. Correlação de Spearman entre o pico de velocidade no T-car e o humor: nível semanal e deterioração (D1→D7).</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Dimensão</w:t>
            </w:r>
          </w:p>
        </w:tc>
        <w:tc>
          <w:tcPr>
            <w:tcW w:type="dxa" w:w="3211"/>
            <w:tcBorders>
              <w:top w:val="single" w:sz="6" w:color="000000"/>
              <w:bottom w:val="single" w:sz="6" w:color="000000"/>
            </w:tcBorders>
          </w:tcPr>
          <w:p>
            <w:pPr>
              <w:jc w:val="center"/>
            </w:pPr>
            <w:r/>
            <w:r>
              <w:rPr>
                <w:rFonts w:ascii="Times New Roman" w:hAnsi="Times New Roman"/>
                <w:b/>
                <w:sz w:val="17"/>
              </w:rPr>
              <w:t>PV × nível (rho, p)</w:t>
            </w:r>
          </w:p>
        </w:tc>
        <w:tc>
          <w:tcPr>
            <w:tcW w:type="dxa" w:w="3211"/>
            <w:tcBorders>
              <w:top w:val="single" w:sz="6" w:color="000000"/>
              <w:bottom w:val="single" w:sz="6" w:color="000000"/>
            </w:tcBorders>
          </w:tcPr>
          <w:p>
            <w:pPr>
              <w:jc w:val="center"/>
            </w:pPr>
            <w:r/>
            <w:r>
              <w:rPr>
                <w:rFonts w:ascii="Times New Roman" w:hAnsi="Times New Roman"/>
                <w:b/>
                <w:sz w:val="17"/>
              </w:rPr>
              <w:t>PV × deterioração (rho, p)</w:t>
            </w:r>
          </w:p>
        </w:tc>
      </w:tr>
      <w:tr>
        <w:tc>
          <w:tcPr>
            <w:tcW w:type="dxa" w:w="3211"/>
            <w:tcBorders>
              <w:top w:val="single" w:sz="6" w:color="000000"/>
              <w:bottom w:val="single" w:sz="6" w:color="000000"/>
            </w:tcBorders>
          </w:tcPr>
          <w:p>
            <w:pPr>
              <w:jc w:val="left"/>
            </w:pPr>
            <w:r/>
            <w:r>
              <w:rPr>
                <w:rFonts w:ascii="Times New Roman" w:hAnsi="Times New Roman"/>
                <w:sz w:val="17"/>
              </w:rPr>
              <w:t>Vigor</w:t>
            </w:r>
          </w:p>
        </w:tc>
        <w:tc>
          <w:tcPr>
            <w:tcW w:type="dxa" w:w="3211"/>
            <w:tcBorders>
              <w:top w:val="single" w:sz="6" w:color="000000"/>
              <w:bottom w:val="single" w:sz="6" w:color="000000"/>
            </w:tcBorders>
          </w:tcPr>
          <w:p>
            <w:pPr>
              <w:jc w:val="center"/>
            </w:pPr>
            <w:r/>
            <w:r>
              <w:rPr>
                <w:rFonts w:ascii="Times New Roman" w:hAnsi="Times New Roman"/>
                <w:sz w:val="17"/>
              </w:rPr>
              <w:t>+0,19 (0,366)</w:t>
            </w:r>
          </w:p>
        </w:tc>
        <w:tc>
          <w:tcPr>
            <w:tcW w:type="dxa" w:w="3211"/>
            <w:tcBorders>
              <w:top w:val="single" w:sz="6" w:color="000000"/>
              <w:bottom w:val="single" w:sz="6" w:color="000000"/>
            </w:tcBorders>
          </w:tcPr>
          <w:p>
            <w:pPr>
              <w:jc w:val="center"/>
            </w:pPr>
            <w:r/>
            <w:r>
              <w:rPr>
                <w:rFonts w:ascii="Times New Roman" w:hAnsi="Times New Roman"/>
                <w:sz w:val="17"/>
              </w:rPr>
              <w:t>+0,29 (0,214)</w:t>
            </w:r>
          </w:p>
        </w:tc>
      </w:tr>
      <w:tr>
        <w:tc>
          <w:tcPr>
            <w:tcW w:type="dxa" w:w="3211"/>
            <w:tcBorders>
              <w:top w:val="single" w:sz="6" w:color="000000"/>
              <w:bottom w:val="single" w:sz="6" w:color="000000"/>
            </w:tcBorders>
          </w:tcPr>
          <w:p>
            <w:pPr>
              <w:jc w:val="left"/>
            </w:pPr>
            <w:r/>
            <w:r>
              <w:rPr>
                <w:rFonts w:ascii="Times New Roman" w:hAnsi="Times New Roman"/>
                <w:sz w:val="17"/>
              </w:rPr>
              <w:t>Fadiga</w:t>
            </w:r>
          </w:p>
        </w:tc>
        <w:tc>
          <w:tcPr>
            <w:tcW w:type="dxa" w:w="3211"/>
            <w:tcBorders>
              <w:top w:val="single" w:sz="6" w:color="000000"/>
              <w:bottom w:val="single" w:sz="6" w:color="000000"/>
            </w:tcBorders>
          </w:tcPr>
          <w:p>
            <w:pPr>
              <w:jc w:val="center"/>
            </w:pPr>
            <w:r/>
            <w:r>
              <w:rPr>
                <w:rFonts w:ascii="Times New Roman" w:hAnsi="Times New Roman"/>
                <w:sz w:val="17"/>
              </w:rPr>
              <w:t>-0,35 (0,091)</w:t>
            </w:r>
          </w:p>
        </w:tc>
        <w:tc>
          <w:tcPr>
            <w:tcW w:type="dxa" w:w="3211"/>
            <w:tcBorders>
              <w:top w:val="single" w:sz="6" w:color="000000"/>
              <w:bottom w:val="single" w:sz="6" w:color="000000"/>
            </w:tcBorders>
          </w:tcPr>
          <w:p>
            <w:pPr>
              <w:jc w:val="center"/>
            </w:pPr>
            <w:r/>
            <w:r>
              <w:rPr>
                <w:rFonts w:ascii="Times New Roman" w:hAnsi="Times New Roman"/>
                <w:sz w:val="17"/>
              </w:rPr>
              <w:t>-0,16 (0,488)</w:t>
            </w:r>
          </w:p>
        </w:tc>
      </w:tr>
      <w:tr>
        <w:tc>
          <w:tcPr>
            <w:tcW w:type="dxa" w:w="3211"/>
            <w:tcBorders>
              <w:top w:val="single" w:sz="6" w:color="000000"/>
              <w:bottom w:val="single" w:sz="6" w:color="000000"/>
            </w:tcBorders>
          </w:tcPr>
          <w:p>
            <w:pPr>
              <w:jc w:val="left"/>
            </w:pPr>
            <w:r/>
            <w:r>
              <w:rPr>
                <w:rFonts w:ascii="Times New Roman" w:hAnsi="Times New Roman"/>
                <w:sz w:val="17"/>
              </w:rPr>
              <w:t>Tensão</w:t>
            </w:r>
          </w:p>
        </w:tc>
        <w:tc>
          <w:tcPr>
            <w:tcW w:type="dxa" w:w="3211"/>
            <w:tcBorders>
              <w:top w:val="single" w:sz="6" w:color="000000"/>
              <w:bottom w:val="single" w:sz="6" w:color="000000"/>
            </w:tcBorders>
          </w:tcPr>
          <w:p>
            <w:pPr>
              <w:jc w:val="center"/>
            </w:pPr>
            <w:r/>
            <w:r>
              <w:rPr>
                <w:rFonts w:ascii="Times New Roman" w:hAnsi="Times New Roman"/>
                <w:sz w:val="17"/>
              </w:rPr>
              <w:t>+0,12 (0,563)</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Depressão</w:t>
            </w:r>
          </w:p>
        </w:tc>
        <w:tc>
          <w:tcPr>
            <w:tcW w:type="dxa" w:w="3211"/>
            <w:tcBorders>
              <w:top w:val="single" w:sz="6" w:color="000000"/>
              <w:bottom w:val="single" w:sz="6" w:color="000000"/>
            </w:tcBorders>
          </w:tcPr>
          <w:p>
            <w:pPr>
              <w:jc w:val="center"/>
            </w:pPr>
            <w:r/>
            <w:r>
              <w:rPr>
                <w:rFonts w:ascii="Times New Roman" w:hAnsi="Times New Roman"/>
                <w:sz w:val="17"/>
              </w:rPr>
              <w:t>-0,09 (0,669)</w:t>
            </w:r>
          </w:p>
        </w:tc>
        <w:tc>
          <w:tcPr>
            <w:tcW w:type="dxa" w:w="3211"/>
            <w:tcBorders>
              <w:top w:val="single" w:sz="6" w:color="000000"/>
              <w:bottom w:val="single" w:sz="6" w:color="000000"/>
            </w:tcBorders>
          </w:tcPr>
          <w:p>
            <w:pPr>
              <w:jc w:val="center"/>
            </w:pPr>
            <w:r/>
            <w:r>
              <w:rPr>
                <w:rFonts w:ascii="Times New Roman" w:hAnsi="Times New Roman"/>
                <w:sz w:val="17"/>
              </w:rPr>
              <w:t>+0,01 (0,973)</w:t>
            </w:r>
          </w:p>
        </w:tc>
      </w:tr>
      <w:tr>
        <w:tc>
          <w:tcPr>
            <w:tcW w:type="dxa" w:w="3211"/>
            <w:tcBorders>
              <w:top w:val="single" w:sz="6" w:color="000000"/>
              <w:bottom w:val="single" w:sz="6" w:color="000000"/>
            </w:tcBorders>
          </w:tcPr>
          <w:p>
            <w:pPr>
              <w:jc w:val="left"/>
            </w:pPr>
            <w:r/>
            <w:r>
              <w:rPr>
                <w:rFonts w:ascii="Times New Roman" w:hAnsi="Times New Roman"/>
                <w:sz w:val="17"/>
              </w:rPr>
              <w:t>Raiva</w:t>
            </w:r>
          </w:p>
        </w:tc>
        <w:tc>
          <w:tcPr>
            <w:tcW w:type="dxa" w:w="3211"/>
            <w:tcBorders>
              <w:top w:val="single" w:sz="6" w:color="000000"/>
              <w:bottom w:val="single" w:sz="6" w:color="000000"/>
            </w:tcBorders>
          </w:tcPr>
          <w:p>
            <w:pPr>
              <w:jc w:val="center"/>
            </w:pPr>
            <w:r/>
            <w:r>
              <w:rPr>
                <w:rFonts w:ascii="Times New Roman" w:hAnsi="Times New Roman"/>
                <w:sz w:val="17"/>
              </w:rPr>
              <w:t>+0,20 (0,352)</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Confusão</w:t>
            </w:r>
          </w:p>
        </w:tc>
        <w:tc>
          <w:tcPr>
            <w:tcW w:type="dxa" w:w="3211"/>
            <w:tcBorders>
              <w:top w:val="single" w:sz="6" w:color="000000"/>
              <w:bottom w:val="single" w:sz="6" w:color="000000"/>
            </w:tcBorders>
          </w:tcPr>
          <w:p>
            <w:pPr>
              <w:jc w:val="center"/>
            </w:pPr>
            <w:r/>
            <w:r>
              <w:rPr>
                <w:rFonts w:ascii="Times New Roman" w:hAnsi="Times New Roman"/>
                <w:sz w:val="17"/>
              </w:rPr>
              <w:t>-0,07 (0,729)</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Perturbação total do humor (PTH)</w:t>
            </w:r>
          </w:p>
        </w:tc>
        <w:tc>
          <w:tcPr>
            <w:tcW w:type="dxa" w:w="3211"/>
            <w:tcBorders>
              <w:top w:val="single" w:sz="6" w:color="000000"/>
              <w:bottom w:val="single" w:sz="6" w:color="000000"/>
            </w:tcBorders>
          </w:tcPr>
          <w:p>
            <w:pPr>
              <w:jc w:val="center"/>
            </w:pPr>
            <w:r/>
            <w:r>
              <w:rPr>
                <w:rFonts w:ascii="Times New Roman" w:hAnsi="Times New Roman"/>
                <w:sz w:val="17"/>
              </w:rPr>
              <w:t>-0,21 (0,332)</w:t>
            </w:r>
          </w:p>
        </w:tc>
        <w:tc>
          <w:tcPr>
            <w:tcW w:type="dxa" w:w="3211"/>
            <w:tcBorders>
              <w:top w:val="single" w:sz="6" w:color="000000"/>
              <w:bottom w:val="single" w:sz="6" w:color="000000"/>
            </w:tcBorders>
          </w:tcPr>
          <w:p>
            <w:pPr>
              <w:jc w:val="center"/>
            </w:pPr>
            <w:r/>
            <w:r>
              <w:rPr>
                <w:rFonts w:ascii="Times New Roman" w:hAnsi="Times New Roman"/>
                <w:sz w:val="17"/>
              </w:rPr>
              <w:t>-0,21 (0,376)</w:t>
            </w:r>
          </w:p>
        </w:tc>
      </w:tr>
      <w:tr>
        <w:tc>
          <w:tcPr>
            <w:tcW w:type="dxa" w:w="3211"/>
            <w:tcBorders>
              <w:top w:val="single" w:sz="6" w:color="000000"/>
              <w:bottom w:val="single" w:sz="6" w:color="000000"/>
            </w:tcBorders>
          </w:tcPr>
          <w:p>
            <w:pPr>
              <w:jc w:val="left"/>
            </w:pPr>
            <w:r/>
            <w:r>
              <w:rPr>
                <w:rFonts w:ascii="Times New Roman" w:hAnsi="Times New Roman"/>
                <w:sz w:val="17"/>
              </w:rPr>
              <w:t>Fadiga física</w:t>
            </w:r>
          </w:p>
        </w:tc>
        <w:tc>
          <w:tcPr>
            <w:tcW w:type="dxa" w:w="3211"/>
            <w:tcBorders>
              <w:top w:val="single" w:sz="6" w:color="000000"/>
              <w:bottom w:val="single" w:sz="6" w:color="000000"/>
            </w:tcBorders>
          </w:tcPr>
          <w:p>
            <w:pPr>
              <w:jc w:val="center"/>
            </w:pPr>
            <w:r/>
            <w:r>
              <w:rPr>
                <w:rFonts w:ascii="Times New Roman" w:hAnsi="Times New Roman"/>
                <w:sz w:val="17"/>
              </w:rPr>
              <w:t>-0,23 (0,273)</w:t>
            </w:r>
          </w:p>
        </w:tc>
        <w:tc>
          <w:tcPr>
            <w:tcW w:type="dxa" w:w="3211"/>
            <w:tcBorders>
              <w:top w:val="single" w:sz="6" w:color="000000"/>
              <w:bottom w:val="single" w:sz="6" w:color="000000"/>
            </w:tcBorders>
          </w:tcPr>
          <w:p>
            <w:pPr>
              <w:jc w:val="center"/>
            </w:pPr>
            <w:r/>
            <w:r>
              <w:rPr>
                <w:rFonts w:ascii="Times New Roman" w:hAnsi="Times New Roman"/>
                <w:sz w:val="17"/>
              </w:rPr>
              <w:t>-0,12 (0,621)</w:t>
            </w:r>
          </w:p>
        </w:tc>
      </w:tr>
      <w:tr>
        <w:tc>
          <w:tcPr>
            <w:tcW w:type="dxa" w:w="3211"/>
            <w:tcBorders>
              <w:top w:val="single" w:sz="6" w:color="000000"/>
              <w:bottom w:val="single" w:sz="6" w:color="000000"/>
            </w:tcBorders>
          </w:tcPr>
          <w:p>
            <w:pPr>
              <w:jc w:val="left"/>
            </w:pPr>
            <w:r/>
            <w:r>
              <w:rPr>
                <w:rFonts w:ascii="Times New Roman" w:hAnsi="Times New Roman"/>
                <w:sz w:val="17"/>
              </w:rPr>
              <w:t>Fadiga mental</w:t>
            </w:r>
          </w:p>
        </w:tc>
        <w:tc>
          <w:tcPr>
            <w:tcW w:type="dxa" w:w="3211"/>
            <w:tcBorders>
              <w:top w:val="single" w:sz="6" w:color="000000"/>
              <w:bottom w:val="single" w:sz="6" w:color="000000"/>
            </w:tcBorders>
          </w:tcPr>
          <w:p>
            <w:pPr>
              <w:jc w:val="center"/>
            </w:pPr>
            <w:r/>
            <w:r>
              <w:rPr>
                <w:rFonts w:ascii="Times New Roman" w:hAnsi="Times New Roman"/>
                <w:sz w:val="17"/>
              </w:rPr>
              <w:t>n/d</w:t>
            </w:r>
          </w:p>
        </w:tc>
        <w:tc>
          <w:tcPr>
            <w:tcW w:type="dxa" w:w="3211"/>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rho: coeficiente de Spearman. Nenhuma correlação alcançou significância estatística.</w:t>
      </w:r>
    </w:p>
    <w:p>
      <w:pPr>
        <w:spacing w:line="360" w:lineRule="auto" w:after="0"/>
        <w:ind w:firstLine="709"/>
        <w:jc w:val="both"/>
      </w:pPr>
      <w:r>
        <w:rPr>
          <w:rFonts w:ascii="Times New Roman" w:hAnsi="Times New Roman"/>
          <w:i w:val="0"/>
          <w:sz w:val="24"/>
        </w:rPr>
        <w:t>A aptidão aeróbia relacionou-se de forma fraca e não significativa com o nível do humor e, sobretudo, não se relacionou com a magnitude da deterioração ao longo da semana. Em termos práticos, o atleta mais apto não esteve protegido contra a queda de vigor e o aumento de fadiga: a deterioração atingiu de forma semelhante os mais e os menos aptos (Figura 4). A aptidão parece definir o patamar geral do humor, e não o quanto ele se desgasta em uma semana de cargas elevadas.</w:t>
      </w:r>
    </w:p>
    <w:p>
      <w:pPr>
        <w:spacing w:before="120"/>
        <w:jc w:val="center"/>
      </w:pPr>
      <w:r>
        <w:drawing>
          <wp:inline xmlns:a="http://schemas.openxmlformats.org/drawingml/2006/main" xmlns:pic="http://schemas.openxmlformats.org/drawingml/2006/picture">
            <wp:extent cx="5940000" cy="2930400"/>
            <wp:docPr id="4" name="Picture 4"/>
            <wp:cNvGraphicFramePr>
              <a:graphicFrameLocks noChangeAspect="1"/>
            </wp:cNvGraphicFramePr>
            <a:graphic>
              <a:graphicData uri="http://schemas.openxmlformats.org/drawingml/2006/picture">
                <pic:pic>
                  <pic:nvPicPr>
                    <pic:cNvPr id="0" name="temporal_aptidao.png"/>
                    <pic:cNvPicPr/>
                  </pic:nvPicPr>
                  <pic:blipFill>
                    <a:blip r:embed="rId12"/>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4. Deterioração do primeiro ao sétimo dia por dimensão, para atletas mais aptos versus menos aptos (divididos pela mediana do pico de velocidade). Não houve diferença significativa entre os grupos.</w:t>
      </w:r>
    </w:p>
    <w:p>
      <w:pPr>
        <w:spacing w:before="200" w:after="60"/>
      </w:pPr>
      <w:r>
        <w:rPr>
          <w:rFonts w:ascii="Times New Roman" w:hAnsi="Times New Roman"/>
          <w:b/>
          <w:i/>
          <w:sz w:val="24"/>
        </w:rPr>
        <w:t>3.6  Comportamento individual de cada dimensão</w:t>
      </w:r>
    </w:p>
    <w:p>
      <w:pPr>
        <w:spacing w:line="360" w:lineRule="auto" w:after="0"/>
        <w:ind w:firstLine="709"/>
        <w:jc w:val="both"/>
      </w:pPr>
      <w:r>
        <w:rPr>
          <w:rFonts w:ascii="Times New Roman" w:hAnsi="Times New Roman"/>
          <w:i w:val="0"/>
          <w:sz w:val="24"/>
        </w:rPr>
        <w:t>As figuras a seguir apresentam, para cada dimensão do humor, um painel completo com a trajetória diária e seus limites, a velocidade e a aceleração da mudança (primeira e segunda derivadas), as transições ao longo da semana, o efeito imediato por dia e uma síntese descritiva. A leitura conjunta desses painéis permite identificar, para cada variável, em que dia a mudança foi mais intensa e quando a tendência mudou de sentido.</w:t>
      </w:r>
    </w:p>
    <w:p>
      <w:pPr>
        <w:spacing w:before="120"/>
        <w:jc w:val="center"/>
      </w:pPr>
      <w:r>
        <w:drawing>
          <wp:inline xmlns:a="http://schemas.openxmlformats.org/drawingml/2006/main" xmlns:pic="http://schemas.openxmlformats.org/drawingml/2006/picture">
            <wp:extent cx="5400000" cy="7109707"/>
            <wp:docPr id="5" name="Picture 5"/>
            <wp:cNvGraphicFramePr>
              <a:graphicFrameLocks noChangeAspect="1"/>
            </wp:cNvGraphicFramePr>
            <a:graphic>
              <a:graphicData uri="http://schemas.openxmlformats.org/drawingml/2006/picture">
                <pic:pic>
                  <pic:nvPicPr>
                    <pic:cNvPr id="0" name="vd_Vigor.png"/>
                    <pic:cNvPicPr/>
                  </pic:nvPicPr>
                  <pic:blipFill>
                    <a:blip r:embed="rId13"/>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5. Painel da dimensão vigor: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6" name="Picture 6"/>
            <wp:cNvGraphicFramePr>
              <a:graphicFrameLocks noChangeAspect="1"/>
            </wp:cNvGraphicFramePr>
            <a:graphic>
              <a:graphicData uri="http://schemas.openxmlformats.org/drawingml/2006/picture">
                <pic:pic>
                  <pic:nvPicPr>
                    <pic:cNvPr id="0" name="vd_Fadiga.png"/>
                    <pic:cNvPicPr/>
                  </pic:nvPicPr>
                  <pic:blipFill>
                    <a:blip r:embed="rId14"/>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6. Painel da dimensão fadiga: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7" name="Picture 7"/>
            <wp:cNvGraphicFramePr>
              <a:graphicFrameLocks noChangeAspect="1"/>
            </wp:cNvGraphicFramePr>
            <a:graphic>
              <a:graphicData uri="http://schemas.openxmlformats.org/drawingml/2006/picture">
                <pic:pic>
                  <pic:nvPicPr>
                    <pic:cNvPr id="0" name="vd_Tensao.png"/>
                    <pic:cNvPicPr/>
                  </pic:nvPicPr>
                  <pic:blipFill>
                    <a:blip r:embed="rId15"/>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7. Painel da dimensão tensão: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8" name="Picture 8"/>
            <wp:cNvGraphicFramePr>
              <a:graphicFrameLocks noChangeAspect="1"/>
            </wp:cNvGraphicFramePr>
            <a:graphic>
              <a:graphicData uri="http://schemas.openxmlformats.org/drawingml/2006/picture">
                <pic:pic>
                  <pic:nvPicPr>
                    <pic:cNvPr id="0" name="vd_Depressao.png"/>
                    <pic:cNvPicPr/>
                  </pic:nvPicPr>
                  <pic:blipFill>
                    <a:blip r:embed="rId16"/>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8. Painel da dimensão depressão: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9" name="Picture 9"/>
            <wp:cNvGraphicFramePr>
              <a:graphicFrameLocks noChangeAspect="1"/>
            </wp:cNvGraphicFramePr>
            <a:graphic>
              <a:graphicData uri="http://schemas.openxmlformats.org/drawingml/2006/picture">
                <pic:pic>
                  <pic:nvPicPr>
                    <pic:cNvPr id="0" name="vd_Raiva.png"/>
                    <pic:cNvPicPr/>
                  </pic:nvPicPr>
                  <pic:blipFill>
                    <a:blip r:embed="rId17"/>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9. Painel da dimensão raiva: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0" name="Picture 10"/>
            <wp:cNvGraphicFramePr>
              <a:graphicFrameLocks noChangeAspect="1"/>
            </wp:cNvGraphicFramePr>
            <a:graphic>
              <a:graphicData uri="http://schemas.openxmlformats.org/drawingml/2006/picture">
                <pic:pic>
                  <pic:nvPicPr>
                    <pic:cNvPr id="0" name="vd_Confusao.png"/>
                    <pic:cNvPicPr/>
                  </pic:nvPicPr>
                  <pic:blipFill>
                    <a:blip r:embed="rId18"/>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10. Painel da dimensão confusão: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1" name="Picture 11"/>
            <wp:cNvGraphicFramePr>
              <a:graphicFrameLocks noChangeAspect="1"/>
            </wp:cNvGraphicFramePr>
            <a:graphic>
              <a:graphicData uri="http://schemas.openxmlformats.org/drawingml/2006/picture">
                <pic:pic>
                  <pic:nvPicPr>
                    <pic:cNvPr id="0" name="vd_TMD.png"/>
                    <pic:cNvPicPr/>
                  </pic:nvPicPr>
                  <pic:blipFill>
                    <a:blip r:embed="rId19"/>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11. Painel da dimensão perturbação total do humor: trajetória, limites, derivadas, transições e síntese descritiva.</w:t>
      </w:r>
    </w:p>
    <w:p>
      <w:pPr>
        <w:spacing w:before="120"/>
        <w:jc w:val="center"/>
      </w:pPr>
      <w:r>
        <w:drawing>
          <wp:inline xmlns:a="http://schemas.openxmlformats.org/drawingml/2006/main" xmlns:pic="http://schemas.openxmlformats.org/drawingml/2006/picture">
            <wp:extent cx="5400000" cy="7113225"/>
            <wp:docPr id="12" name="Picture 12"/>
            <wp:cNvGraphicFramePr>
              <a:graphicFrameLocks noChangeAspect="1"/>
            </wp:cNvGraphicFramePr>
            <a:graphic>
              <a:graphicData uri="http://schemas.openxmlformats.org/drawingml/2006/picture">
                <pic:pic>
                  <pic:nvPicPr>
                    <pic:cNvPr id="0" name="vd_FadFisica.png"/>
                    <pic:cNvPicPr/>
                  </pic:nvPicPr>
                  <pic:blipFill>
                    <a:blip r:embed="rId20"/>
                    <a:stretch>
                      <a:fillRect/>
                    </a:stretch>
                  </pic:blipFill>
                  <pic:spPr>
                    <a:xfrm>
                      <a:off x="0" y="0"/>
                      <a:ext cx="5400000" cy="7113225"/>
                    </a:xfrm>
                    <a:prstGeom prst="rect"/>
                  </pic:spPr>
                </pic:pic>
              </a:graphicData>
            </a:graphic>
          </wp:inline>
        </w:drawing>
      </w:r>
    </w:p>
    <w:p>
      <w:pPr>
        <w:spacing w:after="120"/>
        <w:jc w:val="center"/>
      </w:pPr>
      <w:r>
        <w:rPr>
          <w:rFonts w:ascii="Times New Roman" w:hAnsi="Times New Roman"/>
          <w:sz w:val="21"/>
        </w:rPr>
        <w:t>Figura 12. Painel da dimensão fadiga física: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3" name="Picture 13"/>
            <wp:cNvGraphicFramePr>
              <a:graphicFrameLocks noChangeAspect="1"/>
            </wp:cNvGraphicFramePr>
            <a:graphic>
              <a:graphicData uri="http://schemas.openxmlformats.org/drawingml/2006/picture">
                <pic:pic>
                  <pic:nvPicPr>
                    <pic:cNvPr id="0" name="vd_FadMental.png"/>
                    <pic:cNvPicPr/>
                  </pic:nvPicPr>
                  <pic:blipFill>
                    <a:blip r:embed="rId21"/>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13. Painel da dimensão fadiga mental: trajetória, limites, derivadas, transições e síntese descritiva.</w:t>
      </w:r>
    </w:p>
    <w:p>
      <w:pPr>
        <w:spacing w:before="280" w:after="80"/>
      </w:pPr>
      <w:r>
        <w:rPr>
          <w:rFonts w:ascii="Times New Roman" w:hAnsi="Times New Roman"/>
          <w:b/>
          <w:sz w:val="25"/>
        </w:rPr>
        <w:t>4  Discussão</w:t>
      </w:r>
    </w:p>
    <w:p>
      <w:pPr>
        <w:spacing w:line="360" w:lineRule="auto" w:after="0"/>
        <w:ind w:firstLine="709"/>
        <w:jc w:val="both"/>
      </w:pPr>
      <w:r>
        <w:rPr>
          <w:rFonts w:ascii="Times New Roman" w:hAnsi="Times New Roman"/>
          <w:i w:val="0"/>
          <w:sz w:val="24"/>
        </w:rPr>
        <w:t>Este estudo descreveu o comportamento dos estados de humor de atletas de handebol de elite ao longo da última semana de pré-temporada e testou se a aptidão aeróbia protege o atleta da deterioração do humor. Três achados organizam a discussão: a queda consistente do vigor e o aumento da fadiga física, a migração dos perfis de humor, e a ausência de proteção conferida pela aptidão.</w:t>
      </w:r>
    </w:p>
    <w:p>
      <w:pPr>
        <w:spacing w:before="200" w:after="60"/>
      </w:pPr>
      <w:r>
        <w:rPr>
          <w:rFonts w:ascii="Times New Roman" w:hAnsi="Times New Roman"/>
          <w:b/>
          <w:i/>
          <w:sz w:val="24"/>
        </w:rPr>
        <w:t>4.1  A energia cai e a fadiga física se acumula</w:t>
      </w:r>
    </w:p>
    <w:p>
      <w:pPr>
        <w:spacing w:line="360" w:lineRule="auto" w:after="0"/>
        <w:ind w:firstLine="709"/>
        <w:jc w:val="both"/>
      </w:pPr>
      <w:r>
        <w:rPr>
          <w:rFonts w:ascii="Times New Roman" w:hAnsi="Times New Roman"/>
          <w:i w:val="0"/>
          <w:sz w:val="24"/>
        </w:rPr>
        <w:t>O achado mais robusto foi a combinação de queda do vigor e aumento da fadiga física, esta última com o maior tamanho de efeito de todas as dimensões. Esse padrão é coerente com o propósito da pré-temporada, período planejado para impor carga e estimular adaptações. A análise das derivadas mostrou que a mudança não foi abrupta: a velocidade de queda do vigor foi maior no início da semana e a curva apresentou um ponto de inflexão na sua metade, sinal de que o organismo passou a estabilizar a resposta. Do ponto de vista prático, o vigor se confirma como o indicador mais sensível para acompanhar o desgaste, por reagir cedo e com clareza.</w:t>
      </w:r>
    </w:p>
    <w:p>
      <w:pPr>
        <w:spacing w:before="200" w:after="60"/>
      </w:pPr>
      <w:r>
        <w:rPr>
          <w:rFonts w:ascii="Times New Roman" w:hAnsi="Times New Roman"/>
          <w:b/>
          <w:i/>
          <w:sz w:val="24"/>
        </w:rPr>
        <w:t>4.2  O efeito é acumulado, não pontual</w:t>
      </w:r>
    </w:p>
    <w:p>
      <w:pPr>
        <w:spacing w:line="360" w:lineRule="auto" w:after="0"/>
        <w:ind w:firstLine="709"/>
        <w:jc w:val="both"/>
      </w:pPr>
      <w:r>
        <w:rPr>
          <w:rFonts w:ascii="Times New Roman" w:hAnsi="Times New Roman"/>
          <w:i w:val="0"/>
          <w:sz w:val="24"/>
        </w:rPr>
        <w:t>A separação entre efeito imediato e efeito acumulado trouxe uma informação relevante para a periodização. A deterioração do humor não foi explicada por uma sessão isolada, mas pela soma dos dias. As transições de estímulo, da manhã ao fim do dia, produziram variações menores do que a tendência acumulada de segunda a última coleta. Isso sugere que o monitoramento diário é mais informativo do que medidas pontuais: é a trajetória, e não um único ponto, que revela o estado do atleta. O mapa temporal reforça essa leitura ao localizar as transições em que a mudança foi significativa.</w:t>
      </w:r>
    </w:p>
    <w:p>
      <w:pPr>
        <w:spacing w:before="200" w:after="60"/>
      </w:pPr>
      <w:r>
        <w:rPr>
          <w:rFonts w:ascii="Times New Roman" w:hAnsi="Times New Roman"/>
          <w:b/>
          <w:i/>
          <w:sz w:val="24"/>
        </w:rPr>
        <w:t>4.3  Os perfis de humor migram do iceberg</w:t>
      </w:r>
    </w:p>
    <w:p>
      <w:pPr>
        <w:spacing w:line="360" w:lineRule="auto" w:after="0"/>
        <w:ind w:firstLine="709"/>
        <w:jc w:val="both"/>
      </w:pPr>
      <w:r>
        <w:rPr>
          <w:rFonts w:ascii="Times New Roman" w:hAnsi="Times New Roman"/>
          <w:i w:val="0"/>
          <w:sz w:val="24"/>
        </w:rPr>
        <w:t>A migração de perfis descreve, em uma linguagem intuitiva para a comissão técnica, o mesmo fenômeno observado nas dimensões isoladas. O predomínio inicial do perfil iceberg, com o vigor sobreposto às dimensões negativas, deu lugar a perfis de menor energia, como a barbatana de tubarão. A maior parte dos atletas mudou de perfil ao longo da semana, o que confirma a sensibilidade do humor à carga e sustenta o uso do perfil como recurso de comunicação rápida do estado do grupo.</w:t>
      </w:r>
    </w:p>
    <w:p>
      <w:pPr>
        <w:spacing w:before="200" w:after="60"/>
      </w:pPr>
      <w:r>
        <w:rPr>
          <w:rFonts w:ascii="Times New Roman" w:hAnsi="Times New Roman"/>
          <w:b/>
          <w:i/>
          <w:sz w:val="24"/>
        </w:rPr>
        <w:t>4.4  Aptidão não é sinônimo de proteção</w:t>
      </w:r>
    </w:p>
    <w:p>
      <w:pPr>
        <w:spacing w:line="360" w:lineRule="auto" w:after="0"/>
        <w:ind w:firstLine="709"/>
        <w:jc w:val="both"/>
      </w:pPr>
      <w:r>
        <w:rPr>
          <w:rFonts w:ascii="Times New Roman" w:hAnsi="Times New Roman"/>
          <w:i w:val="0"/>
          <w:sz w:val="24"/>
        </w:rPr>
        <w:t>O resultado talvez mais instigante é que a aptidão aeróbia não protegeu o atleta da deterioração do humor. As correlações entre o pico de velocidade e a variação do humor foram fracas e não significativas, e a comparação entre mais e menos aptos não revelou diferença na magnitude da queda. Uma interpretação plausível é que a aptidão define o patamar do humor, o ponto de partida, mas não a inclinação da resposta a uma semana de cargas elevadas. Em outras palavras, estar bem condicionado ajuda a começar melhor, mas não impede o desgaste quando o estímulo é alto para todos. Esse achado tem consequência prática: o monitoramento do humor não pode ser substituído pela avaliação da aptidão, porque os dois descrevem coisas diferentes e complementares.</w:t>
      </w:r>
    </w:p>
    <w:p>
      <w:pPr>
        <w:spacing w:before="200" w:after="60"/>
      </w:pPr>
      <w:r>
        <w:rPr>
          <w:rFonts w:ascii="Times New Roman" w:hAnsi="Times New Roman"/>
          <w:b/>
          <w:i/>
          <w:sz w:val="24"/>
        </w:rPr>
        <w:t>4.5  Síntese dos principais achados</w:t>
      </w:r>
    </w:p>
    <w:p>
      <w:pPr>
        <w:spacing w:line="360" w:lineRule="auto" w:after="0"/>
        <w:ind w:firstLine="709"/>
        <w:jc w:val="both"/>
      </w:pPr>
      <w:r>
        <w:rPr>
          <w:rFonts w:ascii="Times New Roman" w:hAnsi="Times New Roman"/>
          <w:i w:val="0"/>
          <w:sz w:val="24"/>
        </w:rPr>
        <w:t>Em conjunto, os resultados mostram que a última semana de pré-temporada produziu perda de energia e acúmulo de fadiga física, de forma acumulada ao longo dos dias, com migração da maioria dos atletas para perfis de humor de menor vigor, e sem que a aptidão aeróbia oferecesse proteção contra essa deterioração. A principal contribuição do estudo é integrar, em um mesmo desenho, a descrição fina do humor por derivadas e limiares, a leitura por perfis e o cruzamento com a aptidão, para dar à comissão técnica um retrato claro de onde, quando e quanto o humor muda. As limitações incluem o desenho de grupo único, sem grupo controle, e o tamanho da amostra, próprio de uma equipe de elite. Estudos futuros podem acompanhar mais de um microciclo e incluir medidas objetivas de recuperação para confirmar e ampliar estes achados.</w:t>
      </w:r>
    </w:p>
    <w:p>
      <w:pPr>
        <w:spacing w:before="280" w:after="80"/>
      </w:pPr>
      <w:r>
        <w:rPr>
          <w:rFonts w:ascii="Times New Roman" w:hAnsi="Times New Roman"/>
          <w:b/>
          <w:sz w:val="25"/>
        </w:rPr>
        <w:t>5  Conclusão</w:t>
      </w:r>
    </w:p>
    <w:p>
      <w:pPr>
        <w:spacing w:line="360" w:lineRule="auto" w:after="0"/>
        <w:ind w:firstLine="709"/>
        <w:jc w:val="both"/>
      </w:pPr>
      <w:r>
        <w:rPr>
          <w:rFonts w:ascii="Times New Roman" w:hAnsi="Times New Roman"/>
          <w:i w:val="0"/>
          <w:sz w:val="24"/>
        </w:rPr>
        <w:t>A última semana de pré-temporada de atletas de handebol de elite foi marcada pela queda do vigor e pelo aumento da fadiga física, com deterioração acumulada ao longo dos dias e migração da maioria dos atletas do perfil iceberg para perfis de menor energia. A aptidão aeróbia, medida pelo pico de velocidade no T-car, associou-se ao patamar do humor, mas não protegeu o atleta da deterioração ao longo da semana. O monitoramento diário dos estados de humor, aplicado de forma simples e virtual, mostrou-se sensível e útil para orientar decisões de ajuste de carga.</w:t>
      </w:r>
    </w:p>
    <w:p>
      <w:pPr>
        <w:spacing w:before="280" w:after="80"/>
      </w:pPr>
      <w:r>
        <w:rPr>
          <w:rFonts w:ascii="Times New Roman" w:hAnsi="Times New Roman"/>
          <w:b/>
          <w:sz w:val="25"/>
        </w:rPr>
        <w:t>Referências</w:t>
      </w:r>
    </w:p>
    <w:p>
      <w:pPr>
        <w:spacing w:line="360" w:lineRule="auto" w:after="120"/>
        <w:ind w:left="709" w:hanging="709"/>
        <w:jc w:val="both"/>
      </w:pPr>
      <w:r>
        <w:rPr>
          <w:rFonts w:ascii="Times New Roman" w:hAnsi="Times New Roman"/>
          <w:sz w:val="22"/>
        </w:rPr>
        <w:t>Carminatti, L. J., Possamai, C. A. P., de Moraes, M., da Silva, J. F., de Lucas, R. D., Dittrich, N., &amp; Guglielmo, L. G. A. (2013). Intermittent versus continuous incremental field tests: are maximal variables interchangeable? Journal of Sports Science and Medicine, 12(1), 165–170.</w:t>
      </w:r>
    </w:p>
    <w:p>
      <w:pPr>
        <w:spacing w:line="360" w:lineRule="auto" w:after="120"/>
        <w:ind w:left="709" w:hanging="709"/>
        <w:jc w:val="both"/>
      </w:pPr>
      <w:r>
        <w:rPr>
          <w:rFonts w:ascii="Times New Roman" w:hAnsi="Times New Roman"/>
          <w:sz w:val="22"/>
        </w:rPr>
        <w:t>Da Silva, J. F., Guglielmo, L. G. A., Carminatti, L. J., De Oliveira, F. R., Dittrich, N., &amp; Paton, C. D. (2011). Validity and reliability of a new field test (Carminatti’s test) for soccer players compared with laboratory-based measures. Journal of Sports Sciences, 29(15), 1621–1628. https://doi.org/10.1080/02640414.2011.609179</w:t>
      </w:r>
    </w:p>
    <w:p>
      <w:pPr>
        <w:spacing w:line="360" w:lineRule="auto" w:after="120"/>
        <w:ind w:left="709" w:hanging="709"/>
        <w:jc w:val="both"/>
      </w:pPr>
      <w:r>
        <w:rPr>
          <w:rFonts w:ascii="Times New Roman" w:hAnsi="Times New Roman"/>
          <w:sz w:val="22"/>
        </w:rPr>
        <w:t>Fernandes-da-Silva, J., Castagna, C., Teixeira, A. S., Carminatti, L. J., &amp; Guglielmo, L. G. A. (2016). The peak velocity derived from the Carminatti Test is related to physical match performance in young soccer players. Journal of Sports Sciences, 34(24), 2238–2245. https://doi.org/10.1080/02640414.2016.1209307</w:t>
      </w:r>
    </w:p>
    <w:p>
      <w:pPr>
        <w:spacing w:line="360" w:lineRule="auto" w:after="120"/>
        <w:ind w:left="709" w:hanging="709"/>
        <w:jc w:val="both"/>
      </w:pPr>
      <w:r>
        <w:rPr>
          <w:rFonts w:ascii="Times New Roman" w:hAnsi="Times New Roman"/>
          <w:sz w:val="22"/>
        </w:rPr>
        <w:t>Floriano, L. T., da Silva, J. F., Teixeira, A. S., Salvador, P. C. N., Dittrich, N., Carminatti, L. J., Nascimento, L. L., &amp; Guglielmo, L. G. A. (2016). Physiological responses during the time limit at 100% of the peak velocity in the Carminatti’s test in futsal players. Journal of Human Kinetics, 54, 91–101. https://doi.org/10.1515/hukin-2016-0038</w:t>
      </w:r>
    </w:p>
    <w:p>
      <w:pPr>
        <w:spacing w:line="360" w:lineRule="auto" w:after="120"/>
        <w:ind w:left="709" w:hanging="709"/>
        <w:jc w:val="both"/>
      </w:pPr>
      <w:r>
        <w:rPr>
          <w:rFonts w:ascii="Times New Roman" w:hAnsi="Times New Roman"/>
          <w:sz w:val="22"/>
        </w:rPr>
        <w:t>Rohlfs, I. C. P. M., Rotta, T. M., Luft, C. D. B., Andrade, A., Krebs, R. J., &amp; Carvalho, T. (2008). A Escala de Humor de Brunel (Brums): instrumento para deteccao precoce da sindrome do excesso de treinamento. Revista Brasileira de Medicina do Esporte, 14(3), 176–181.</w:t>
      </w:r>
    </w:p>
    <w:p>
      <w:pPr>
        <w:spacing w:line="360" w:lineRule="auto" w:after="120"/>
        <w:ind w:left="709" w:hanging="709"/>
        <w:jc w:val="both"/>
      </w:pPr>
      <w:r>
        <w:rPr>
          <w:rFonts w:ascii="Times New Roman" w:hAnsi="Times New Roman"/>
          <w:sz w:val="22"/>
        </w:rPr>
        <w:t>Terry, P. C., Lane, A. M., &amp; Fogarty, G. J. (2003). Construct validity of the Profile of Mood States-Adolescents for use with adults. Psychology of Sport and Exercise, 4(2), 125–139.</w:t>
      </w:r>
    </w:p>
    <w:sectPr w:rsidR="00FC693F" w:rsidRPr="0006063C" w:rsidSect="00034616">
      <w:pgSz w:w="12240" w:h="15840"/>
      <w:pgMar w:top="130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