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pré e pós-treino,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seletividade do eixo energia–fadiga que reproduz, num microciclo de handebol, o comportamento já documentado em outras modalidades sob carga,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Dentre as dimensões do humor, o vigor e a fadiga formam o eixo mais sensível à carga de treino: quando a intensidade aumenta, o vigor recua e a fadiga se eleva de modo consistente, ao passo que as dimensões de valência negativa, como tensão, depressão e raiva, permanecem relativamente estáveis (PIERCE, 2002; SAW; MAIN; GASTIN, 2016; THORPE et al., 2017). Esse eixo energia–fadiga opera como um termômetro afetivo do equilíbrio entre esforço e recuperação, o que sustenta o seu uso no monitoramento diário.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aquela que distingue a oscilação aguda de cada sessão do acúmulo ao longo dos dias,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0"/>
        <w:ind w:firstLine="709"/>
        <w:jc w:val="both"/>
      </w:pPr>
      <w:r>
        <w:rPr>
          <w:b w:val="0"/>
          <w:sz w:val="24"/>
        </w:rPr>
        <w:t>Para além dos escores isolados de cada subescala, a leitura do humor evoluiu para a identificação de perfis prototípicos. Morgan (1985) descreveu o clássico “perfil iceberg”, vigor elevado sobre dimensões negativas baixas, como assinatura de prontidão e de saúde mental positiva. Mais recentemente, análises de agrupamento (cluster) em grandes amostras formalizaram seis perfis de humor (iceberg, superfície, submerso, barbatana de tubarão, iceberg invertido e Everest invertido),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0"/>
        <w:ind w:firstLine="709"/>
        <w:jc w:val="both"/>
      </w:pPr>
      <w:r>
        <w:rPr>
          <w:b w:val="0"/>
          <w:sz w:val="24"/>
        </w:rPr>
        <w:t>Dois desses perfis são especialmente informativos para a leitura de um microciclo de carga. O iceberg, vigor elevado sobrepondo-se a dimensões negativas baixas,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e, em graus variados, com tensão e raiva acentuadas,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e não apenas em um instantâneo,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0"/>
        <w:ind w:firstLine="709"/>
        <w:jc w:val="both"/>
      </w:pPr>
      <w:r>
        <w:rPr>
          <w:b w:val="0"/>
          <w:sz w:val="24"/>
        </w:rPr>
        <w:t>O handebol de quadra é uma modalidade coletiva de invasão, de caráter marcadamente intermitente e de alta intensidade. Ao longo da partida, ações máximas e explosivas, como sprints curtos, saltos, arremessos, bloqueios, mudanças bruscas de direção e contatos físicos, alternam-se, de forma imprevisível, com períodos de recuperação incompleta, o que exige simultaneamente potência anaeróbia, capacidade aeróbia intermitente e elevada tolerância à fadiga (KARCHER; BUCHHEIT, 2014; MICHALSIK; AAGAARD, 2015; WAGNER et al., 2014). Revisões sistemáticas das demandas de competição confirmam e quantificam esse perfil: o jogador de elite percorre, em média, cerca de 3,7 km por partida e executa dezenas de ações intensas de curta duração, com exigências que variam de forma acentuada conforme a posição de jogo (GARCÍA-SÁNCHEZ et al., 2023), e as fases de transição concentram as maiores intensidades de deslocamento (LEFÈVRE et al., 2023).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0"/>
        <w:ind w:firstLine="709"/>
        <w:jc w:val="both"/>
      </w:pPr>
      <w:r>
        <w:rPr>
          <w:b w:val="0"/>
          <w:sz w:val="24"/>
        </w:rPr>
        <w:t>Apesar da ampla adoção da BRUMS, escasseiam descrições detalhadas do comportamento do humor ao longo de um microciclo pré-competitivo de handebol de elite,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perfis e médias em instantâneos,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taxa de variação, aceleração e cruzamento energia–fadiga,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pré e pós-treino,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e não pela data informada pelo respondente, o que garante a alocação correta de cada observação ao dia e ao momento de coleta. O primeiro dia (21/04) constituiu a avaliação de linha de base (baseline), com uma única coleta por atleta; nos seis dias de treino subsequentes (22 a 27/04) previram-se duas coletas diárias,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equivalente não paramétrico da ANOVA de medidas repetidas,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e correlação média entre itens), pela assimetria da distribuição e pela presença de efeito de piso, considerado relevante quando mais de 15% das observações se concentravam no menor escore possível (TERWEE et al., 2007).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0"/>
        <w:ind w:firstLine="709"/>
        <w:jc w:val="both"/>
      </w:pPr>
      <w:r>
        <w:rPr>
          <w:b w:val="0"/>
          <w:sz w:val="24"/>
        </w:rPr>
        <w:t>Para aprofundar a inferência sobre a dinâmica temporal, acrescentaram-se três abordagens complementares. Primeiro, ajustou-se um modelo bayesiano multinível de curva de crescimento ao vigor, à fadiga e à PTH,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 Em caráter exploratório, a estrutura dimensional do humor foi ainda descrita por análise de componentes principais das seis subescalas padronizadas, com retenção dos componentes de autovalor superior a 1 (critério de Kaiser) e interpretação pelas cargas de correlação.</w:t>
      </w:r>
    </w:p>
    <w:p>
      <w:pPr>
        <w:spacing w:line="360" w:lineRule="auto" w:after="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0"/>
        <w:ind w:firstLine="709"/>
        <w:jc w:val="both"/>
      </w:pPr>
      <w:r>
        <w:rPr>
          <w:b w:val="0"/>
          <w:sz w:val="24"/>
        </w:rPr>
        <w:t>A descritiva geral consta na Tabela 4: o vigor e a fadiga concentram as maiores médias e variabilidade.</w:t>
      </w:r>
    </w:p>
    <w:p>
      <w:pPr>
        <w:spacing w:before="160" w:after="40"/>
      </w:pPr>
      <w:r>
        <w:rPr>
          <w:sz w:val="22"/>
        </w:rPr>
        <w:t>Tabela 5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 médio entre itens</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considerado presente quando &gt; 15% das observações no menor escore (TERWEE et al., 2007). α = alfa de Cronbach; r médio entre itens = correlação inter-item média.</w:t>
      </w:r>
    </w:p>
    <w:p>
      <w:pPr>
        <w:spacing w:after="120"/>
      </w:pPr>
      <w:r>
        <w:rPr>
          <w:sz w:val="18"/>
        </w:rPr>
        <w:t>Fonte: dados da pesquisa (2026).</w:t>
      </w:r>
    </w:p>
    <w:p>
      <w:pPr>
        <w:spacing w:line="360" w:lineRule="auto" w:after="0"/>
        <w:ind w:firstLine="709"/>
        <w:jc w:val="both"/>
      </w:pPr>
      <w:r>
        <w:rPr>
          <w:b w:val="0"/>
          <w:sz w:val="24"/>
        </w:rPr>
        <w:t>As propriedades psicométricas (Tabela 5) esclarecem por que a resposta se restringiu ao eixo energia–fadiga. O vigor e a fadiga distribuíram-se ao longo de toda a escala, com assimetria próxima de zero (+0,15 e +0,62) e sem efeito de piso (9% e 10% no menor escore), e reuniram consistência interna adequada a boa (α = 0,68 e 0,80). As quatro dimensões negativas, ao contrário, exibiram forte efeito de piso, de 46% (tensão) a 79% (confusão) das observações no escore zero, e acentuada assimetria positiva, o que comprime a variância disponível. Essa compressão repercutiu na consistência interna de modo heterogêneo: a tensão e a confusão tiveram alfa reduzido (α = 0,43 e 0,65), pois a baixa variância enfraquece a covariância entre itens, ao passo que a depressão e a raiva mantiveram alfa elevado (α = 0,85 e 0,87), quando de fato se elevam, os seus itens variam de forma coerente, ainda que isso ocorra em uma minoria das observações. Em suma, não é a fidedignidade da escala, mas o efeito de piso próprio de uma amostra de elite mentalmente saudável, que limita a sensibilidade das dimensões negativas à carga. A Perturbação Total do Humor (PTH), por ser um índice composto, escapa a essa restrição: distribuiu-se de forma contínua (de -12 a 52; sem efeito de piso) e, sobretudo, foi governada pelo eixo energia–fadiga, o vigor e a fadiga sozinhos explicam 70% da sua variância (R²), o que a mantém sensível à carga e explica por que a PTH acompanhou a deterioração ao longo da semana, apesar do piso das dimensões negativas que a integram.</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0"/>
        <w:ind w:firstLine="709"/>
        <w:jc w:val="both"/>
      </w:pPr>
      <w:r>
        <w:rPr>
          <w:b w:val="0"/>
          <w:sz w:val="24"/>
        </w:rPr>
        <w:t>A consistência das medidas repetidas (Tabela 8) foi moderada a boa, com os valores mais baixos na raiva e na confusão, dimensões mais reativas dia a dia.</w:t>
      </w:r>
    </w:p>
    <w:p>
      <w:pPr>
        <w:spacing w:before="160" w:after="40"/>
      </w:pPr>
      <w:r>
        <w:rPr>
          <w:sz w:val="22"/>
        </w:rPr>
        <w:t>Tabela 9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0"/>
        <w:ind w:firstLine="709"/>
        <w:jc w:val="both"/>
      </w:pPr>
      <w:r>
        <w:rPr>
          <w:b w:val="0"/>
          <w:sz w:val="24"/>
        </w:rPr>
        <w:t>Para orientar a leitura individual, derivaram-se do ICC os limiares de mudança (Tabela 9).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0"/>
        <w:ind w:firstLine="709"/>
        <w:jc w:val="both"/>
      </w:pPr>
      <w:r>
        <w:rPr>
          <w:b w:val="0"/>
          <w:sz w:val="24"/>
        </w:rPr>
        <w:t>Na comparação de todos os dias entre si (pós-teste de Tukey; Tabela 10; Figura 3), o vigor diferiu significativamente em 9 dos 21 pares de dias e a fadiga em 6, sempre no sentido de piora em relação aos primeiros dias,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o que evidencia a concentração do efeito no eixo energia–fadiga,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12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0"/>
        <w:ind w:firstLine="709"/>
        <w:jc w:val="both"/>
      </w:pPr>
      <w:r>
        <w:rPr>
          <w:b w:val="0"/>
          <w:sz w:val="24"/>
        </w:rPr>
        <w:t>A Tabela 12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13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0"/>
        <w:ind w:firstLine="709"/>
        <w:jc w:val="both"/>
      </w:pPr>
      <w:r>
        <w:rPr>
          <w:b w:val="0"/>
          <w:sz w:val="24"/>
        </w:rPr>
        <w:t>Quanto às relações entre as dimensões (Tabela 13),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14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0"/>
        <w:ind w:firstLine="709"/>
        <w:jc w:val="both"/>
      </w:pPr>
      <w:r>
        <w:rPr>
          <w:b w:val="0"/>
          <w:sz w:val="24"/>
        </w:rPr>
        <w:t>A prevalência deslocou-se do iceberg (48% no baseline) para a barbatana de tubarão (22% no Dia 7), com o iceberg em recuo para 22% (Figura 11; Tabela 14). Essa reorganização categórica, contudo, não alcançou significância estatística (χ² = 8,96; p = 0,111),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na qual, em avaliação momentânea, o iceberg foi o perfil mais prevalente (34,3%) e os perfis de risco os menos prevalentes (barbatana de tubarão 11,6%; iceberg invertido 6,2%; Everest invertido 2,7%),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15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0"/>
        <w:ind w:firstLine="709"/>
        <w:jc w:val="both"/>
      </w:pPr>
      <w:r>
        <w:rPr>
          <w:b w:val="0"/>
          <w:sz w:val="24"/>
        </w:rPr>
        <w:t>Para testar a migração de perfil como uma tendência ao longo da semana, e não pela via categórica de baixa potência do qui-quadrado, ajustou-se uma regressão logística da probabilidade de cada perfil em função do dia do microciclo (Tabela 15). A chance do perfil de barbatana de tubarão cresceu de forma consistente a cada dia (OR = 1,37 por dia; IC95% 1,22–1,70), com elevação da probabilidade prevista de 0,04 no Dia 1 para 0,20 no Dia 7,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16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1573846"/>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580000" cy="1573846"/>
                    </a:xfrm>
                    <a:prstGeom prst="rect"/>
                  </pic:spPr>
                </pic:pic>
              </a:graphicData>
            </a:graphic>
          </wp:inline>
        </w:drawing>
      </w:r>
    </w:p>
    <w:p>
      <w:pPr>
        <w:jc w:val="center"/>
      </w:pPr>
      <w:r>
        <w:rPr>
          <w:sz w:val="22"/>
        </w:rPr>
        <w:t>Figura 13 – Ajuste polinomial P(t) das médias diárias do vigor, da fadiga e da Perturbação Total do Humor (PTH), com a derivada P′(t) (taxa de variação) e o ponto de inflexão de cada trajetória.</w:t>
      </w:r>
    </w:p>
    <w:p>
      <w:pPr>
        <w:spacing w:after="120"/>
        <w:jc w:val="center"/>
      </w:pPr>
      <w:r>
        <w:rPr>
          <w:sz w:val="18"/>
        </w:rPr>
        <w:t>Fonte: elaboração dos autores (2026).</w:t>
      </w:r>
    </w:p>
    <w:p>
      <w:pPr>
        <w:spacing w:line="360" w:lineRule="auto" w:after="0"/>
        <w:ind w:firstLine="709"/>
        <w:jc w:val="both"/>
      </w:pPr>
      <w:r>
        <w:rPr>
          <w:b w:val="0"/>
          <w:sz w:val="24"/>
        </w:rPr>
        <w:t>Para caracterizar formalmente a dinâmica temporal, ajustou-se uma função polinomial de grau 3 às médias diárias de cada dimensão e derivaram-se as respectivas taxas de variação (Tabela 16; Figura 13). A modelagem restringiu-se ao eixo energia–fadiga (vigor, fadiga e PTH), em que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o momento em que a taxa de deterioração deixa de acelerar, o que fornece uma leitura quantitativa do ritmo do desgaste e sinaliza a metade do microciclo como o marco a partir do qual a resposta afetiva muda de regime. A Perturbação Total do Humor, submetida à mesma modelagem (R² = 0,80), acumulou-se a uma taxa média de 1,28 ponto/dia, com inflexão no mesmo entorno (dia 4); diferentemente do vigor, porém, a sua taxa de variação não desacelerou até o encerramento do microciclo (P′ no Dia 1 = +5,10; no Dia 7 = +6,41), o que revela uma perturbação global em ascensão contínua, sem plateau, até o último dia, coerente com o pico da PTH no Dia 7.</w:t>
      </w:r>
    </w:p>
    <w:p>
      <w:pPr>
        <w:spacing w:line="360" w:lineRule="auto" w:after="0"/>
        <w:ind w:firstLine="709"/>
        <w:jc w:val="both"/>
      </w:pPr>
      <w:r>
        <w:rPr>
          <w:b w:val="0"/>
          <w:sz w:val="24"/>
        </w:rPr>
        <w:t>A derivada segunda (P″) descreve a aceleração da mudança e a concavidade da trajetória. No vigor, P″ é positiva no início (+2,51), a queda, embora acentuada, desacelera rumo ao meio da semana,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o mesmo eixo que domina toda a resposta afetiva à carga.</w:t>
      </w:r>
    </w:p>
    <w:p>
      <w:pPr>
        <w:spacing w:before="160" w:after="40"/>
      </w:pPr>
      <w:r>
        <w:rPr>
          <w:sz w:val="22"/>
        </w:rPr>
        <w:t>Tabela 17 – Extremos da função ajustada e limites da derivada, por dimensão: valor máximo e mínimo modelados (com o dia) e os limites da taxa de variação P′,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0"/>
        <w:ind w:firstLine="709"/>
        <w:jc w:val="both"/>
      </w:pPr>
      <w:r>
        <w:rPr>
          <w:b w:val="0"/>
          <w:sz w:val="24"/>
        </w:rPr>
        <w:t>Os extremos das funções ajustadas e os limites de suas derivadas (Tabela 17)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os pontos de interseção das funções ocorrem nos dias 2, 4, 6,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18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0"/>
        <w:ind w:firstLine="709"/>
        <w:jc w:val="both"/>
      </w:pPr>
      <w:r>
        <w:rPr>
          <w:b w:val="0"/>
          <w:sz w:val="24"/>
        </w:rPr>
        <w:t>Para separar a tendência sistemática (sinal) do ruído de amostragem e obter uma leitura visual mais limpa, cada trajetória diária foi decomposta em uma componente suave, a função polinomial ajustada, e um resíduo (Tabela 18;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0"/>
        <w:ind w:firstLine="709"/>
        <w:jc w:val="both"/>
      </w:pPr>
      <w:r>
        <w:rPr>
          <w:b w:val="0"/>
          <w:sz w:val="24"/>
        </w:rPr>
        <w:t>Com base nas duas coletas diárias dos dias de treino, a trajetória do grupo foi reconstruída em alta resolução, com 13 pontos temporais,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19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19). A filtragem praticamente não alterou nada,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20 – Modelo bayesiano multinível de curva de crescimento para o vigor, a fadiga e a PTH: estimativas a posteriori (média e intervalo de credibilidade de 95%).</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PTH</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pré→pós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+3,22 [+1,82; +4,62]</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por 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+0,60 [-0,05; +1,23]</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0,49 [0,30; 0,67]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1,21 [0,72; 1,81]</w:t>
            </w:r>
          </w:p>
        </w:tc>
      </w:tr>
    </w:tbl>
    <w:p>
      <w:pPr>
        <w:spacing w:after="0"/>
      </w:pPr>
      <w:r>
        <w:rPr>
          <w:i/>
          <w:sz w:val="17"/>
        </w:rPr>
        <w:t>Estimação por amostrador de Gibbs (semente 2024); intervalos de credibilidade que excluem zero indicam efeito consistente. ICC = proporção da variância atribuível a diferenças entre atletas. PTH em pontos do índice composto (escala distinta das subescalas).</w:t>
      </w:r>
    </w:p>
    <w:p>
      <w:pPr>
        <w:spacing w:after="120"/>
      </w:pPr>
      <w:r>
        <w:rPr>
          <w:sz w:val="18"/>
        </w:rPr>
        <w:t>Fonte: dados da pesquisa (2026).</w:t>
      </w:r>
    </w:p>
    <w:p>
      <w:pPr>
        <w:spacing w:line="360" w:lineRule="auto" w:after="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20).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heterogeneidade que o modelo quantifica e que respalda a leitura individualizada do monitoramento.</w:t>
      </w:r>
    </w:p>
    <w:p>
      <w:pPr>
        <w:spacing w:line="360" w:lineRule="auto" w:after="0"/>
        <w:ind w:firstLine="709"/>
        <w:jc w:val="both"/>
      </w:pPr>
      <w:r>
        <w:rPr>
          <w:b w:val="0"/>
          <w:sz w:val="24"/>
        </w:rPr>
        <w:t>Aplicado à Perturbação Total do Humor, o mesmo modelo esclarece a composição do seu movimento e ilustra o ganho de separar sinal e ruído. O choque agudo intrassessão foi robusto (+3,22 ponto por sessão; IC95% +1,82 a +4,62, que exclui o zero), ao passo que a deriva crônica entre dias mostrou-se modesta e imprecisa (+0,60 por dia; IC95% -0,05 a +1,23, que inclui o zero). Isto é, uma vez isolada a oscilação aguda, o acúmulo diário da PTH, embora presente na tendência das médias, não se distingue com segurança do ruído, coerente com a sua razão sinal-ruído inferior à do vigor e da fadiga (sinal de 80% contra 96% e 95%, respectivamente). A PTH é, portanto, sensível sobretudo ao impacto agudo de cada sessão, e a sua leitura crônica exige cautela, um refinamento que apenas a modelagem multinível, ao depurar o sinal do ruído, torna explícito.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refinamento que a leitura por correlações simples não isola e que traduz, no plano da rede, o “fechamento” do perfil de fadiga.</w:t>
      </w:r>
    </w:p>
    <w:p>
      <w:pPr>
        <w:spacing w:line="360" w:lineRule="auto" w:after="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a chance de estar num tercil superior de fadiga mais que dobrou do pré ao pós (OR = 2,25; IC95% 1,43–3,53), enquanto a de vigor caiu na mesma transição (OR = 0,61; IC95% 0,39–0,95),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3.16 Classificação individual por mudança confiável (MDC)</w:t>
      </w:r>
    </w:p>
    <w:p>
      <w:pPr>
        <w:spacing w:before="160" w:after="40"/>
      </w:pPr>
      <w:r>
        <w:rPr>
          <w:sz w:val="22"/>
        </w:rPr>
        <w:t>Tabela 21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19" name="Picture 19"/>
            <wp:cNvGraphicFramePr>
              <a:graphicFrameLocks noChangeAspect="1"/>
            </wp:cNvGraphicFramePr>
            <a:graphic>
              <a:graphicData uri="http://schemas.openxmlformats.org/drawingml/2006/picture">
                <pic:pic>
                  <pic:nvPicPr>
                    <pic:cNvPr id="0" name="mdc_individual.png"/>
                    <pic:cNvPicPr/>
                  </pic:nvPicPr>
                  <pic:blipFill>
                    <a:blip r:embed="rId27"/>
                    <a:stretch>
                      <a:fillRect/>
                    </a:stretch>
                  </pic:blipFill>
                  <pic:spPr>
                    <a:xfrm>
                      <a:off x="0" y="0"/>
                      <a:ext cx="5580000" cy="3050400"/>
                    </a:xfrm>
                    <a:prstGeom prst="rect"/>
                  </pic:spPr>
                </pic:pic>
              </a:graphicData>
            </a:graphic>
          </wp:inline>
        </w:drawing>
      </w:r>
    </w:p>
    <w:p>
      <w:pPr>
        <w:jc w:val="center"/>
      </w:pPr>
      <w:r>
        <w:rPr>
          <w:sz w:val="22"/>
        </w:rPr>
        <w:t>Figura 19 – Mudança individual do vigor e da fadiga (Δ Dia 1 → Dia 7) por atleta, ordenada. A faixa cinza central corresponde à mudança mínima detectável (MDC90); barras fora dela indicam mudança confiável, verde: melhora; vermelho: piora; cinza: dentro do erro de medida.</w:t>
      </w:r>
    </w:p>
    <w:p>
      <w:pPr>
        <w:spacing w:after="120"/>
        <w:jc w:val="center"/>
      </w:pPr>
      <w:r>
        <w:rPr>
          <w:sz w:val="18"/>
        </w:rPr>
        <w:t>Fonte: elaboração dos autores (2026).</w:t>
      </w:r>
    </w:p>
    <w:p>
      <w:pPr>
        <w:spacing w:line="360" w:lineRule="auto" w:after="0"/>
        <w:ind w:firstLine="709"/>
        <w:jc w:val="both"/>
      </w:pPr>
      <w:r>
        <w:rPr>
          <w:b w:val="0"/>
          <w:sz w:val="24"/>
        </w:rPr>
        <w:t>A aplicação do critério de mudança confiável ao nível individual (Tabela 21; Figura 19) matiza o achado de grupo. Embora a equipe tenha derivado no eixo energia–fadiga, a maioria dos atletas manteve-se, individualmente, dentro do erro de medida: apenas 8 dos 21 apresentaram queda de vigor superior à MDC e 7, elevação de fadiga acima dela. Um subconjunto restrito, 3 atletas,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coerente com a dispersão das inclinações estimada pelo modelo bayesiano, ilustra por que o monitoramento aplicado deve combinar a tendência coletiva com a leitura, atleta a atleta, das mudanças que excedem o erro de medida.</w:t>
      </w:r>
    </w:p>
    <w:p>
      <w:pPr>
        <w:spacing w:before="120" w:after="80" w:line="360" w:lineRule="auto"/>
      </w:pPr>
      <w:r>
        <w:rPr>
          <w:b/>
          <w:sz w:val="24"/>
        </w:rPr>
        <w:t>3.17 Estrutura dimensional: análise de componentes principais (exploratória)</w:t>
      </w:r>
    </w:p>
    <w:p>
      <w:pPr>
        <w:spacing w:before="160" w:after="40"/>
      </w:pPr>
      <w:r>
        <w:rPr>
          <w:sz w:val="22"/>
        </w:rPr>
        <w:t>Tabela 22 – Análise de componentes principais das seis dimensões do BRUMS (padronizadas): variância explicada e cargas de correlação dos dois primeiros componentes.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PC1 (41%)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PC2 (23%)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+0,75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+0,83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bl>
    <w:p>
      <w:pPr>
        <w:spacing w:after="0"/>
      </w:pPr>
      <w:r>
        <w:rPr>
          <w:i/>
          <w:sz w:val="17"/>
        </w:rPr>
        <w:t>Cargas de correlação (componente × √autovalor). Dois componentes com autovalor &gt; 1 (critério de Kaiser) somam 64% da variância. Análise exploratória: as 286 observações estão aninhadas em atletas.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4860000" cy="3267931"/>
            <wp:docPr id="20" name="Picture 20"/>
            <wp:cNvGraphicFramePr>
              <a:graphicFrameLocks noChangeAspect="1"/>
            </wp:cNvGraphicFramePr>
            <a:graphic>
              <a:graphicData uri="http://schemas.openxmlformats.org/drawingml/2006/picture">
                <pic:pic>
                  <pic:nvPicPr>
                    <pic:cNvPr id="0" name="pca_biplot.png"/>
                    <pic:cNvPicPr/>
                  </pic:nvPicPr>
                  <pic:blipFill>
                    <a:blip r:embed="rId28"/>
                    <a:stretch>
                      <a:fillRect/>
                    </a:stretch>
                  </pic:blipFill>
                  <pic:spPr>
                    <a:xfrm>
                      <a:off x="0" y="0"/>
                      <a:ext cx="4860000" cy="3267931"/>
                    </a:xfrm>
                    <a:prstGeom prst="rect"/>
                  </pic:spPr>
                </pic:pic>
              </a:graphicData>
            </a:graphic>
          </wp:inline>
        </w:drawing>
      </w:r>
    </w:p>
    <w:p>
      <w:pPr>
        <w:jc w:val="center"/>
      </w:pPr>
      <w:r>
        <w:rPr>
          <w:sz w:val="22"/>
        </w:rPr>
        <w:t>Figura 20 – Biplot da análise de componentes principais das seis dimensões do BRUMS. Pontos: observações, coloridas pela Perturbação Total do Humor (PTH); setas: cargas das dimensões (vigor em verde, fadiga em laranja). PC1 = eixo de perturbação geral; PC2 = eixo de ativação.</w:t>
      </w:r>
    </w:p>
    <w:p>
      <w:pPr>
        <w:spacing w:after="120"/>
        <w:jc w:val="center"/>
      </w:pPr>
      <w:r>
        <w:rPr>
          <w:sz w:val="18"/>
        </w:rPr>
        <w:t>Fonte: elaboração dos autores (2026).</w:t>
      </w:r>
    </w:p>
    <w:p>
      <w:pPr>
        <w:spacing w:line="360" w:lineRule="auto" w:after="0"/>
        <w:ind w:firstLine="709"/>
        <w:jc w:val="both"/>
      </w:pPr>
      <w:r>
        <w:rPr>
          <w:b w:val="0"/>
          <w:sz w:val="24"/>
        </w:rPr>
        <w:t>Como leitura exploratória da estrutura latente do humor, uma análise de componentes principais das seis dimensões padronizadas (Tabela 22; Figura 20) resumiu a resposta em dois eixos (autovalor &gt; 1), que juntos explicam 64% da variância. O primeiro componente (41% da variância) reúne, com o mesmo sinal, a depressão, a raiva, a fadiga e a confusão, e opõe-se ao vigor, eis um eixo de perturbação geral do humor, alinhado à Perturbação Total do Humor, cujo gradiente colore o biplot. O segundo (23%) contrasta a tensão e o vigor com a fadiga, à maneira de um eixo de ativação. Essa estrutura corrobora, por uma via independente, a concentração da resposta afetiva: a maior parte da informação do painel condensa-se em um eixo dominante de perturbação, coerente com a decomposição sinal–ruído e com o comportamento da PTH. Cabe, contudo, cautela, as observações estão aninhadas em atletas, de modo que a análise mistura a variância intra e a entre indivíduos e tem valor descritivo, não confirmatório.</w:t>
      </w:r>
    </w:p>
    <w:p>
      <w:pPr>
        <w:spacing w:before="200" w:after="80" w:line="360" w:lineRule="auto"/>
      </w:pPr>
      <w:r>
        <w:rPr>
          <w:b/>
          <w:sz w:val="24"/>
        </w:rPr>
        <w:t>4 DISCUSSÃO</w:t>
      </w:r>
    </w:p>
    <w:p>
      <w:pPr>
        <w:spacing w:line="360" w:lineRule="auto" w:after="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resultado que replica, em outra modalidade e em outra escala temporal, o mesmo eixo de resposta aqui identificado e reforça a leitura de que o par vigor–fadiga constitui o núcleo informativo do painel de humor sob carga.</w:t>
      </w:r>
    </w:p>
    <w:p>
      <w:pPr>
        <w:spacing w:line="360" w:lineRule="auto" w:after="0"/>
        <w:ind w:firstLine="709"/>
        <w:jc w:val="both"/>
      </w:pPr>
      <w:r>
        <w:rPr>
          <w:b w:val="0"/>
          <w:sz w:val="24"/>
        </w:rPr>
        <w:t>Para além de confirmar a deterioração, os resultados detalham a sua dinâmica temporal,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intrassessão, em que o vigor cai e a fadiga sobe do pré ao pós a cada treino, e um acúmulo ao longo da semana, que desloca o eixo energia–fadiga rumo ao final do microciclo,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0"/>
        <w:ind w:firstLine="709"/>
        <w:jc w:val="both"/>
      </w:pPr>
      <w:r>
        <w:rPr>
          <w:b w:val="0"/>
          <w:sz w:val="24"/>
        </w:rPr>
        <w:t>Um aspecto metodológico distingue este estudo da tradição descritiva do perfilamento do humor. A literatura clássica caracteriza o humor de atletas por instantâneos, o perfil de um momento,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informação alinhada ao papel do monitoramento do humor como indicador precoce de sobrecarga e de excesso de treinamento (FEIJEN et al., 2020; NEDERHOF et al., 2007) e à dinâmica dia a 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uma resposta direta às conhecidas limitações de fidedignidade e de efeito de piso dessas dimensões em amostras de elite (TERRY; LANE; FOGARTY, 2003). A análise psicométrica desta amostra corrobora e explica esse padrão: as quatro dimensões negativas excederam o critério de efeito de piso (de 46% a 79% das observações no escore zero), ao passo que o vigor e a fadiga, distribuídos por toda a escala, não o fizeram (TERWEE et al., 2007). Trata-se de uma expressão esperada do modelo de saúde mental do atleta de elite, o perfil iceberg, com afeto negativo naturalmente baixo (MORGAN, 1985), e não de uma falha do instrumento: a compressão da variância junto ao piso reduz a variação possível e, com ela, a sensibilidade estatística à carga, o que legitima interpretar as dimensões negativas com parcimônia e sobretudo como sinalizadoras quando de fato se elevam. Por fim, o cruzamento energia–fadiga, obtido das curvas suavizadas, condensa em um único marcador visual e objetivo o instante em que a fadiga supera o vigor, evento que o acompanhamento diário isolado dificilmente tornaria tão explícito.</w:t>
      </w:r>
    </w:p>
    <w:p>
      <w:pPr>
        <w:spacing w:line="360" w:lineRule="auto" w:after="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situação em que a máxima verossimilhança encontra dificuldade de convergência,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que não pressupõe normalidade e respeita o efeito-piso das subescalas,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0"/>
        <w:ind w:firstLine="709"/>
        <w:jc w:val="both"/>
      </w:pPr>
      <w:r>
        <w:rPr>
          <w:b w:val="0"/>
          <w:sz w:val="24"/>
        </w:rPr>
        <w:t>O caráter do handebol ajuda a contextualizar a magnitude dessa resposta. Trata-se de uma modalidade coletiva de invasão, marcadamente intermitente, na qual ações de alta intensidade, sprints, saltos, arremessos, bloqueios, mudanças de direção e contatos,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moldura em que os presentes achados se inserem ao detalhar, em alta resolução temporal, a face afetiva dessa resposta ao longo de um microciclo.</w:t>
      </w:r>
    </w:p>
    <w:p>
      <w:pPr>
        <w:spacing w:line="360" w:lineRule="auto" w:after="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0"/>
        <w:ind w:firstLine="709"/>
        <w:jc w:val="both"/>
      </w:pPr>
      <w:r>
        <w:rPr>
          <w:b w:val="0"/>
          <w:sz w:val="24"/>
        </w:rPr>
        <w:t>No plano dos perfis de humor, o deslocamento de prevalência do iceberg (prontidão) para a barbatana de tubarão (fadiga funcional) ao longo da semana, que a regressão logística de tendência confirmou para o perfil de barbatana de tubarão, cuja chance cresceu cerca de 37% por dia (OR = 1,37 por dia; IC95% exclui 1), ainda que a via categórica do qui-quadrado, de menor potência, não a tenha detectado, reproduz, em um microciclo de handebol, o “derretimento do iceberg” descrito na literatura de sobrecarga (MORGAN, 1985; HAN; PARSONS-SMITH; TERRY, 2020).</w:t>
      </w:r>
    </w:p>
    <w:p>
      <w:pPr>
        <w:spacing w:line="360" w:lineRule="auto" w:after="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uma fadiga esperada,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e não como deterioração,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uma cascata de ajustes metabólicos, hormonais e neurais que visam restaurar a homeostase e poupar energia (WOODS et al., 2018; VRIJKOTTE et al., 2019). A concentração da resposta no eixo energético, e não nas dimensões de valência emocional,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capaz de sinalizar o custo do esforço quando os índices periféricos já se normalizaram, e justifica ancorar o monitoramento no eixo energia–fadiga.</w:t>
      </w:r>
    </w:p>
    <w:p>
      <w:pPr>
        <w:spacing w:line="360" w:lineRule="auto" w:after="0"/>
        <w:ind w:firstLine="709"/>
        <w:jc w:val="both"/>
      </w:pPr>
      <w:r>
        <w:rPr>
          <w:b w:val="0"/>
          <w:sz w:val="24"/>
        </w:rPr>
        <w:t>Esse conjunto de sinais delineia a assinatura de um sobre-esforço funcional (functional overreaching), a fadiga planejada e reversível que precede a supercompensação,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com medidas duas vezes ao dia que separam a resposta aguda do acúmulo crônico,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0"/>
        <w:ind w:firstLine="709"/>
        <w:jc w:val="both"/>
      </w:pPr>
      <w:r>
        <w:rPr>
          <w:b w:val="0"/>
          <w:sz w:val="24"/>
        </w:rPr>
        <w:t>Algumas limitações delimitam o alcance dos achados. A primeira, e mais importante, é o tamanho amostral (27 atletas), associado a uma única equipe e a um único microciclo: o desenho observacional de fase única não autoriza inferência causal sobre a carga, e a generalização a outras equipes, categorias, sexos e momentos da temporada permanece a confirmar. A segunda diz respeito às dimensões negativas do humor, próximas do piso, com variância e fidedignidade reduzidas, o que limita a leitura das suas pequenas oscilações e restringe a interpretação da parte da rede que as envolve. A terceira é que a conversão dos escores T foi referenciada à própria amostra, e não a tabelas normativas nacionais de atletas, o que recomenda cautela na comparação absoluta de prevalências entre estudos e na classificação estrita dos perfis. Some-se que a inferência no nível individual esbarra no erro de medida: como a mudança mínima detectável é ampla, apenas variações individuais expressivas podem ser afirmadas com segurança. Por fim, parte das análises, a rede psicométrica e o modelo ordinal, tem caráter exploratório e valor sobretudo gerador de hipóteses, dado o número de observações.</w:t>
      </w:r>
    </w:p>
    <w:p>
      <w:pPr>
        <w:spacing w:line="360" w:lineRule="auto" w:after="0"/>
        <w:ind w:firstLine="709"/>
        <w:jc w:val="both"/>
      </w:pPr>
      <w:r>
        <w:rPr>
          <w:b w:val="0"/>
          <w:sz w:val="24"/>
        </w:rPr>
        <w:t>Essas limitações, contudo, são atenuadas por características do desenho e da análise, o que preserva a validade dos achados centrais. A medição duas vezes ao dia gerou 286 observações e permitiu dissociar a resposta aguda do acúmulo crônico; a auditoria de robustez (remoção de atípicos por distância de Mahalanobis) não alterou as conclusões; o modelo bayesiano forneceu intervalos de credibilidade estáveis mesmo quando a máxima verossimilhança vacila em amostras pequenas; e a convergência entre o modelo contínuo, o bayesiano e o ordinal indica que a deterioração do eixo energia–fadiga não é artefato de uma escolha analítica particular. Em conjunto, o achado central sustenta-se apesar do tamanho amostral, ainda que a sua extensão a outros contextos dependa de replicação.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deterioração limitada ao eixo energético, sem instalação dos perfis de risco à saúde mental e sem instalação dos perfis de maior risco à saúde mental,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0"/>
        <w:jc w:val="both"/>
      </w:pPr>
      <w:r>
        <w:rPr>
          <w:b w:val="0"/>
          <w:sz w:val="24"/>
        </w:rPr>
        <w:t>Este manuscrito integra um par de estudos-companheiros que compartilham a mesma amostra e o mesmo microciclo, com desfechos primários distintos. O artigo companheiro, sobre os correlatos fisiológicos e de bem-estar da resposta de humor, foi submetido a outro periódico; ambos se citam mutuamente.</w:t>
      </w:r>
    </w:p>
    <w:p>
      <w:pPr>
        <w:spacing w:before="200" w:after="80" w:line="360" w:lineRule="auto"/>
      </w:pPr>
      <w:r>
        <w:rPr>
          <w:b/>
          <w:sz w:val="24"/>
        </w:rPr>
        <w:t>REFERÊNCIAS</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GARCÍA-SÁNCHEZ, C. et al. Physical demands during official competitions in elite handball: a systematic review. International Journal of Environmental Research and Public Health, v. 20, n. 4, 3353, 2023. DOI: 10.3390/ijerph20043353.</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LEFÈVRE, T. et al. A deep dive into the use of local positioning system in professional handball: automatic detection of players’ orientation, position and game phases to analyse specific physical demands. PLoS ONE, v. 18, n. 8, e0289752, 2023. DOI: 10.1371/journal.pone.0289752.</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