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Auditoria das classificações de perfil de humor no projeto de handebol</w:t>
      </w:r>
    </w:p>
    <w:p>
      <w:pPr>
        <w:spacing w:line="240" w:lineRule="auto" w:after="16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0"/>
        </w:rPr>
        <w:t>Três séries divergentes, a origem de cada uma e qual delas deve prevalecer</w:t>
      </w:r>
    </w:p>
    <w:p>
      <w:pPr>
        <w:spacing w:line="240" w:lineRule="auto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0"/>
        </w:rPr>
        <w:t>O QUE MOTIVOU ESTA AUDITORIA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O orientador questionou o valor de prevalência do perfil iceberg no dia de repouso. Os manuscritos em circulação relatam 71,4%, e a lembrança dele apontava para algo entre 40% e 42%, com queda para cerca de 19% no último dia. A auditoria varreu os dezoito documentos do projeto e confirma que a objeção procede: existem três séries distintas, o número correto do perfil iceberg no dia 1 é 40,5%, e o valor de 71,4% pertence a outro critério de classificação, que foi indevidamente misturado à narrativa dos seis perfis.</w:t>
      </w:r>
    </w:p>
    <w:p>
      <w:pPr>
        <w:pStyle w:val="Heading1"/>
      </w:pPr>
      <w:r>
        <w:t>1 A RESPOSTA CURTA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O perfil iceberg no dia de repouso é de 40,5%, e não de 71,4%.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No último dia ele cai para 17,4%. Os dois números vêm da Tabela 12 do documento Artigo_Perfil_de_humor__handebol.docx, que classifica os seis perfis sobre escores T, conforme o procedimento da literatura. A lembrança do orientador, de algo entre 40% e 42% na partida e cerca de 19% na chegada, está correta.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valor de 71,4% que circula nos manuscritos pertence a outro critério. Ele é o critério de Morgan aplicado sobre escores brutos, que apenas verifica se o vigor supera as cinco subescalas negativas. Nesta amostra, quatro dessas subescalas têm mediana zero, de modo que a condição é satisfeita com facilidade e o percentual infla. Esse critério não classifica nos seis perfis e não deveria ter sido apresentado ao lado deles como se fosse a mesma coisa.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A consequência é séria e vai além do número.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A conclusão que os manuscritos sustentavam até aqui, a de que a faixa de risco permanece estável ao longo da semana, decorre da série errada. Pela classificação correta, a faixa de risco sobe de 26,2% para 43,5% das observações, um ganho de 17,3 pontos percentuais, com o perfil barbatana de tubarão a saltar de 2,4% para 28,3%. A equipe não apenas perde o padrão favorável: ela migra para os perfis que a literatura associa a risco.</w:t>
      </w:r>
    </w:p>
    <w:p>
      <w:pPr>
        <w:pStyle w:val="Heading1"/>
      </w:pPr>
      <w:r>
        <w:t>2 O QUE A AUDITORIA VARREU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Foram varridos dezoito documentos, entre os sete gerados neste projeto e os onze enviados originalmente, mais o organograma em página web. O procedimento extrai cada parágrafo e cada linha de tabela, recorta os trechos que citam um perfil junto de um número e os agrupa por documento. O código está em scripts/auditoria/perfis.py e pode ser executado de novo a qualquer momento.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varredura encontrou três séries distintas de classificação, e não duas. Elas estão na Tabela 1, com a regra de cada uma e o documento de origem.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1 - As três séries de classificação encontradas, com a regra de cada uma e o documento de origem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Série</w:t>
            </w:r>
          </w:p>
        </w:tc>
        <w:tc>
          <w:tcPr>
            <w:tcW w:type="dxa" w:w="181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Regra de classificação</w:t>
            </w:r>
          </w:p>
        </w:tc>
        <w:tc>
          <w:tcPr>
            <w:tcW w:type="dxa" w:w="181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Documento de origem</w:t>
            </w:r>
          </w:p>
        </w:tc>
        <w:tc>
          <w:tcPr>
            <w:tcW w:type="dxa" w:w="181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Iceberg no dia 1</w:t>
            </w:r>
          </w:p>
        </w:tc>
        <w:tc>
          <w:tcPr>
            <w:tcW w:type="dxa" w:w="181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Iceberg no dia 7</w:t>
            </w:r>
          </w:p>
        </w:tc>
      </w:tr>
      <w:tr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Escores convertidos em T, com média 50 e desvio 10, e atribuição pela forma do perfil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Artigo_Perfil_de_humor__handebol.docx, Tabela 12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40,5%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17,4%</w:t>
            </w:r>
          </w:p>
        </w:tc>
      </w:tr>
      <w:tr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B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Padronização dentro da própria amostra e atribuição ao centroide canônico mais próximo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Artigo_Final_.docx, Tabela 21, e duas cópias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21,4%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6,5%</w:t>
            </w:r>
          </w:p>
        </w:tc>
      </w:tr>
      <w:tr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C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Critério de Morgan sobre escores brutos: vigor acima das cinco subescalas negativas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Artigo_Final_.docx, Tabela 20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71,4%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32,6%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auditoria dos documentos do projeto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a série C não classifica nos seis perfis. Ela apenas separa iceberg de não iceberg pela ordem entre o vigor e as cinco negativas, sobre escores brutos. Como quatro dessas subescalas têm mediana zero nesta amostra, a condição é satisfeita com facilidade, e por isso a série C produz o valor mais alto das três. Ela não é comparável às séries A e B.</w:t>
      </w:r>
    </w:p>
    <w:p>
      <w:pPr>
        <w:pStyle w:val="Heading1"/>
      </w:pPr>
      <w:r>
        <w:t>3 ONDE AS DUAS CLASSIFICAÇÕES DIVERGEM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Tabela 2 compara perfil a perfil. O detalhe mais informativo dela é o que não diverge: submerso e iceberg invertido têm exatamente os mesmos valores nas duas séries, nos dois dias. Isso demonstra que os dados de entrada são os mesmos e que a divergência está na regra de fronteira entre perfis, não na coleta nem no cálculo dos escores.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2 - Comparação perfil a perfil entre a série A e a série B, no primeiro e no último dia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Perfil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Dia 1, série A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Dia 1, série B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Diferença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Dia 7, série A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Dia 7, série B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Diferença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Iceberg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40,5%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21,4%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+19,1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17,4%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6,5%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+10,9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Superfície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26,2%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47,6%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−21,4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28,3%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60,9%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−32,6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Everest invertido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14,3%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4,8%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+9,5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8,7%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4,3%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+4,4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Iceberg invertido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9,5%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9,5%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+0,0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6,5%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6,5%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+0,0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Submerso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7,1%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7,1%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+0,0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10,9%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10,9%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+0,0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Barbatana de tubarão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2,4%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9,5%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−7,1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28,3%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10,9%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+17,4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auditoria dos documentos do projeto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submerso e iceberg invertido são idênticos nas duas séries, nos dois dias. Toda a divergência se concentra em quatro perfis. Isso indica que os dados de entrada são os mesmos e que a diferença está na regra de fronteira, não na coleta.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divergência se concentra em quatro perfis. A série B empurra 21,4 pontos percentuais a mais para o perfil superfície no dia 1 e 32,6 pontos a mais no dia 7, e retira essa massa sobretudo do iceberg, do Everest invertido e, no dia 7, da barbatana de tubarão. Esse é o comportamento esperado de uma atribuição por centroide mais próximo sobre escores padronizados internamente: a média do próprio grupo passa a ser a linha de água e as observações se comprimem em direção ao centro, que é justamente onde fica o centroide do perfil superfície.</w:t>
      </w:r>
    </w:p>
    <w:p>
      <w:pPr>
        <w:pStyle w:val="Heading1"/>
      </w:pPr>
      <w:r>
        <w:t>4 POR QUE A SÉRIE A DEVE PREVALECER</w:t>
      </w:r>
    </w:p>
    <w:p>
      <w:pPr>
        <w:pStyle w:val="ListBullet"/>
        <w:spacing w:line="240" w:lineRule="auto" w:after="40"/>
        <w:ind w:left="567" w:hanging="227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Ela segue o procedimento da literatura.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O método declarado converte os escores em T, com média 50 e desvio 10, que é a escala sobre a qual os seis perfis foram definidos. A série B abandona essa escala por não haver normas populacionais e substitui a regra de forma por proximidade a centroide.</w:t>
      </w:r>
    </w:p>
    <w:p>
      <w:pPr>
        <w:pStyle w:val="ListBullet"/>
        <w:spacing w:line="240" w:lineRule="auto" w:after="40"/>
        <w:ind w:left="567" w:hanging="227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Ela reproduz a forma esperada dos perfis.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A prevalência do iceberg em repouso, de 40,5%, é da mesma ordem dos 29,4% da amostra normativa. A série B produz 21,4% de iceberg e 47,6% de superfície, contra 14,8% de superfície na norma, o que é um afastamento de 32,8 pontos percentuais sem explicação substantiva.</w:t>
      </w:r>
    </w:p>
    <w:p>
      <w:pPr>
        <w:pStyle w:val="ListBullet"/>
        <w:spacing w:line="240" w:lineRule="auto" w:after="40"/>
        <w:ind w:left="567" w:hanging="227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Ela mostra o perfil que a teoria prevê para o fim de uma semana de carga.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A barbatana de tubarão, definida pelo vigor mais baixo de todos os perfis com fadiga alta, salta de 2,4% para 28,3% e se torna o perfil mais frequente do último dia, empatado com superfície. É exatamente o desfecho que o eixo vigor e fadiga desta amostra faz esperar, com o vigor em queda de 7,61 para 4,49 e a fadiga em alta de 3,96 para 7,46.</w:t>
      </w:r>
    </w:p>
    <w:p>
      <w:pPr>
        <w:pStyle w:val="ListBullet"/>
        <w:spacing w:line="240" w:lineRule="auto" w:after="40"/>
        <w:ind w:left="567" w:hanging="227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A comparação externa fica coerente.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A faixa de risco no dia 1 é de 26,2%, quase idêntica aos 26,5% relatados na amostra brasileira de 898 atletas classificada pelos mesmos seis perfis. Pela série B a faixa de risco seria de 23,8% e a comparação também funcionaria, mas ao custo de uma distribuição interna que não se parece com nenhuma amostra publicada.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3 - Faixas de significado nas duas séries: a conclusão substantiva se inverte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Faixa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Série A, dia 1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Série A, dia 7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Série A, diferença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Série B, dia 1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Série B, dia 7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Série B, diferença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Favorável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40,5%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17,4%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−23,1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21,4%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6,5%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−14,9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Neutro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33,3%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39,2%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+5,9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54,7%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71,8%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+17,1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De risco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26,2%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43,5%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+17,3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23,8%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21,7%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−2,1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auditoria dos documentos do projeto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a faixa favorável reúne o perfil iceberg; a neutra reúne superfície e submerso; a de risco reúne barbatana de tubarão, iceberg invertido e Everest invertido, que são os três perfis que a literatura associa a risco à saúde mental. Pela série A a faixa de risco sobe 17,3 pontos percentuais ao longo da semana; pela série B ela cai 2,1 pontos. As duas séries levam a recomendações opostas.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Tabela 3 mostra por que a escolha da série não é um detalhe de método. Pela série A a equipe termina a semana com 43,5% das observações em perfil de risco, quase o dobro do início. Pela série B a faixa de risco fica estável e a conclusão vira outra, a de que a semana apenas dissolve o padrão favorável na indiferenciação. A primeira leitura pede intervenção na carga e conversa individual com quase metade do elenco na véspera do jogo. A segunda pede ajuste fino. São recomendações opostas a partir do mesmo conjunto de dados.</w:t>
      </w:r>
    </w:p>
    <w:p>
      <w:pPr>
        <w:pStyle w:val="Heading1"/>
      </w:pPr>
      <w:r>
        <w:t>5 O QUE AINDA NÃO FECHA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auditoria resolve a pergunta sobre qual série usar, mas não resolve os denominadores. A Tabela 4 reúne o que cada fonte declara.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4 - Denominadores declarados em cada fonte, e a incoerência entre eles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Fonte</w:t>
            </w:r>
          </w:p>
        </w:tc>
        <w:tc>
          <w:tcPr>
            <w:tcW w:type="dxa" w:w="2268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Dia 1</w:t>
            </w:r>
          </w:p>
        </w:tc>
        <w:tc>
          <w:tcPr>
            <w:tcW w:type="dxa" w:w="2268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Dia 7</w:t>
            </w:r>
          </w:p>
        </w:tc>
        <w:tc>
          <w:tcPr>
            <w:tcW w:type="dxa" w:w="2268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Observação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Tabela 12, série A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42 observações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46 observações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Base das percentagens da série A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Tabela 52 do relatório completo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27 atletas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21 atletas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Contagem de atletas com coleta válida no dia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Esquema do delineamento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27 atletas, 1 coleta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27 atletas, 2 coletas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Máximo teórico de 27 no dia 1 e de 54 no dia 7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Resumo do manuscrito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456 observações no total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O desenho comporta no máximo 351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auditoria dos documentos do projeto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nenhuma das combinações fecha. Se o dia 1 é de coleta única, o máximo é 27 observações e não 42. Se o dia 7 tem 21 atletas, o máximo é 42 observações e não 46. A auditoria não consegue resolver isso sem a planilha de fluxo de dados, e por isso as percentagens de qualquer série permanecem provisórias até que o denominador seja publicado.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Enquanto o fluxo de dados não for publicado, com atletas por dia e por coleta, qualquer percentual permanece provisório na terceira casa. A ordem de grandeza e a direção do movimento, porém, não dependem disso: a contagem bruta da série A é de 17 observações em iceberg no dia 1 contra 8 no dia 7, e de 1 observação em barbatana de tubarão no dia 1 contra 13 no dia 7. Essa mudança de contagem é grande demais para ser artefato de denominador.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Há ainda um quarto conjunto de valores que a auditoria não conseguiu localizar. A captura de tela enviada pelo orientador menciona iceberg de 48% para 22% e barbatana de tubarão de 4% para 22%. Nenhum documento do projeto contém esses valores. A direção do movimento coincide com a série A, mas os números não. É preciso saber de qual análise essa tela saiu antes de considerá-la uma quarta série.</w:t>
      </w:r>
    </w:p>
    <w:p>
      <w:pPr>
        <w:pStyle w:val="Heading1"/>
      </w:pPr>
      <w:r>
        <w:t>6 O QUE FOI CORRIGIDO E O QUE FALTA</w:t>
      </w:r>
    </w:p>
    <w:p>
      <w:pPr>
        <w:pStyle w:val="ListBullet"/>
        <w:spacing w:line="240" w:lineRule="auto" w:after="40"/>
        <w:ind w:left="567" w:hanging="227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Corrigido.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Os manuscritos passam a usar a série A para os seis perfis, com iceberg de 40,5% para 17,4% e barbatana de tubarão de 2,4% para 28,3%.</w:t>
      </w:r>
    </w:p>
    <w:p>
      <w:pPr>
        <w:pStyle w:val="ListBullet"/>
        <w:spacing w:line="240" w:lineRule="auto" w:after="40"/>
        <w:ind w:left="567" w:hanging="227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Corrigido.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A conclusão sobre a faixa de risco foi invertida: ela sobe 17,3 pontos percentuais, e não permanece estável.</w:t>
      </w:r>
    </w:p>
    <w:p>
      <w:pPr>
        <w:pStyle w:val="ListBullet"/>
        <w:spacing w:line="240" w:lineRule="auto" w:after="40"/>
        <w:ind w:left="567" w:hanging="227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Corrigido.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O critério de Morgan passa a aparecer apenas como contraponto declarado, com a ressalva de que o efeito piso o infla, e nunca ao lado dos seis perfis como se fosse equivalente.</w:t>
      </w:r>
    </w:p>
    <w:p>
      <w:pPr>
        <w:pStyle w:val="ListBullet"/>
        <w:spacing w:line="240" w:lineRule="auto" w:after="40"/>
        <w:ind w:left="567" w:hanging="227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Falta.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A série A só existe para o dia 1 e para o dia 7. Não há classificação por perfil nos dias 2 a 6 nem separação entre dias com e sem HIIT. A curva diária dos perfis exige recomputar a classificação a partir dos dados brutos.</w:t>
      </w:r>
    </w:p>
    <w:p>
      <w:pPr>
        <w:pStyle w:val="ListBullet"/>
        <w:spacing w:line="240" w:lineRule="auto" w:after="40"/>
        <w:ind w:left="567" w:hanging="227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Falta.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O denominador de cada dia, que a Tabela 4 mostra incoerente entre as fontes.</w:t>
      </w:r>
    </w:p>
    <w:p>
      <w:pPr>
        <w:pStyle w:val="ListBullet"/>
        <w:spacing w:line="240" w:lineRule="auto" w:after="40"/>
        <w:ind w:left="567" w:hanging="227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Falta.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A origem dos valores de 48% e 22% da captura de tela.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 w:line="24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ap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 w:line="24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aps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 w:line="24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aps w:val="0"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