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Plano editorial da série sobre humor em atletas de handebol de elite</w:t>
      </w: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Definição do primeiro artigo, cronograma, delimitação dos manuscritos e panorama da produção internacional</w:t>
      </w:r>
    </w:p>
    <w:p>
      <w:pPr>
        <w:spacing w:line="240" w:lineRule="auto" w:after="4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PARA QUE SERVE ESTE DOCUMENTO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Este documento decide qual manuscrito sai primeiro, fixa as datas de cada entrega e delimita o que entra e o que não entra em cada artigo da série. Ele também traz o panorama da produção internacional sobre psicologia do esporte no handebol, calculado sobre a biblioteca do projeto, e a lista das pendências que bloqueiam a submissão. A data de referência é 28 de agosto de 2026.</w:t>
      </w:r>
    </w:p>
    <w:p>
      <w:pPr>
        <w:pStyle w:val="Heading1"/>
      </w:pPr>
      <w:r>
        <w:t>1 A DECISÃO: QUAL ARTIGO SAI PRIMEIRO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primeiro artigo da série é o de perfis. A razão é de dependência, não de preferência. O segundo artigo usa o perfil como desfecho, e o perfil precisa estar definido, classificado e publicado antes que alguém possa medir o deslocamento dele. Se a ordem for invertida, o Artigo 2 carrega toda a seção de método da classificação, cresce além do formato de artigo empírico e enfraquece os dois manuscritos.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segunda razão é de risco. O Artigo 1 é descritivo e depende apenas de dados já coletados. O Artigo 2 depende de decisões que ainda estão em aberto, entre elas qual erro de medida serve de referência para a mudança confiável. Um manuscrito pronto e submetido em outubro vale mais que dois manuscritos parados à espera da mesma decisão.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terceira razão é de oportunidade. A literatura de agrupamentos de humor cresce desde 2017 e ainda não tem um estudo em handebol. Esse espaço fecha. O levantamento da seção 5 mostra que dos 32 estudos de humor em handebol nos últimos vinte anos, apenas um é longitudinal e nenhum aplica os seis perfis.</w:t>
      </w:r>
    </w:p>
    <w:p>
      <w:pPr>
        <w:pStyle w:val="Heading1"/>
      </w:pPr>
      <w:r>
        <w:t>2 CRONOGRAMA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cronograma abaixo tem oito semanas até a submissão do Artigo 1 e termina a série em dezembro. Ele é apertado de propósito: as tabelas e as figuras dos dois artigos empíricos já existem, e o que falta é decisão sobre os dados brutos e redação.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1 - Cronograma da série, com a data limite de cada entrega e a condição que libera a etapa seguinte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Etapa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Período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Entrega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Condição de saída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Bloco 1. Artigo 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1.1 Reconciliar o denominador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31/08 a 06/09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Planilha de fluxo: atletas por dia por coleta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456 contra 351 resolvido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1.2 Recomputar os agrupamentos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07/09 a 13/09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Script de classificação e tabela de prevalência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Seis perfis reproduzidos a partir dos dados brutos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1.3 Congelar tabelas e figuras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07/09 a 13/09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Sete tabelas e cinco figuras do Artigo 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Nenhum número em aberto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1.4 Redigir o Artigo 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14/09 a 20/09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Manuscrito completo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Texto fechado, com referências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1.5 Revisão do orientador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21/09 a 27/09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Manuscrito comentado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Parecer recebido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1.6 Ajuste e submissão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28/09 a 04/10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Submissão do Artigo 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Protocolo de submissão emitido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Bloco 2. Artigo 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2.1 Fechar os marcadores de fadiga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05/10 a 11/10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de mudança confiável e de acúmulo por sessão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MDC de referência definido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2.2 Congelar tabelas e figuras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12/10 a 18/10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Seis tabelas e quatro figuras do Artigo 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Nenhum número em aberto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2.3 Redigir o Artigo 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19/10 a 01/11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Manuscrito completo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Texto fechado, com referências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2.4 Revisão e submissão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02/11 a 15/11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Submissão do Artigo 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Protocolo de submissão emitido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Bloco 3. Revisão sistemática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3.1 Fechar o protocolo e registrar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05/10 a 18/10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Protocolo no PROSPERO ou no OSF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Registro aceito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3.2 Extração e síntese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19/10 a 29/11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Planilha de extração completa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Dupla checagem concluída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3.3 Redigir e submeter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30/11 a 20/12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Submissão da revisão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Protocolo de submissão emitido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os períodos são semanas cheias, de segunda a domingo. A etapa 1.1 é bloqueante para todo o Bloco 1: sem o fluxo de dados reconciliado, nenhuma tabela do Artigo 1 pode ser declarada final. Os Blocos 2 e 3 correm em paralelo a partir de outubro porque não compartilham gargalo.</w:t>
      </w:r>
    </w:p>
    <w:p>
      <w:pPr>
        <w:pStyle w:val="Heading1"/>
      </w:pPr>
      <w:r>
        <w:t>3 DELIMITAÇÃO DE CADA ARTIGO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tabela a seguir fixa o que entra em cada manuscrito. A linha mais importante é a última do bloco de conteúdo, a do que não entra: é ela que impede a sobreposição entre os artigos, que é o motivo mais comum de recusa em série de publicações do mesmo conjunto de dados.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2 - Delimitação comparada dos três manuscritos da série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Atributo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Artigo 1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Artigo 2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Artigo 3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Título de trabalho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Análise do perfil de humor em atletas de handebol de elite: novos perfis e suas características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Impacto da fadiga sobre os novos perfis de humor em atletas de handebol de elite: overreaching, overtraining e recomendações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Produção internacional sobre psicologia do esporte no handebol: revisão de escopo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Pergunta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Como se distribuem os seis perfis de humor nesta população e o que caracteriza cada um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Como a carga do microciclo desloca os perfis e que sinais de sobrecarga isso produz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que já foi estudado, com que delineamento e com que variável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Desenho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Observacional descritivo, de corte múltiplo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Observacional longitudinal, medidas repetidas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 conforme PRISMA-ScR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Unidade de análise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observação diária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atleta ao longo da semana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estudo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Desfecho primário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Prevalência de cada perfil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Deslocamento do perfil e mudança confiável por atleta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Contagem por delineamento e por variável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Variáveis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Seis subescalas do BRUMS e PTH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BRUMS, PTH, fadiga física e mental, TQR, sonolência, PSE, FC de pico, recuperação da FC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Família de variável psicológica e coocorrência com variável fisiológica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Análises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Classificação por centroide, prevalência, qui-quadrado, concordância entre critérios, percentis de referência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Modelo misto, dz com IC, mudança confiável contra o MDC, inclinação por sessão, fator de Bayes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Contagem, tabulação cruzada e mapa de lacunas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que não entra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Carga de treino e inferência causal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Definição dos perfis, que fica no Artigo 1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Síntese de efeito, porque o escopo é de mapeamento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Revista alvo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Frontiers in Psychology ou Sports (MDPI)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International Journal of Sports Physiology and Performance ou Journal of Sports Sciences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Montenegrin Journal of Sports Science and Medicine ou BMC Sports Science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Estado hoje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Tabelas e figuras prontas, texto por escrever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Tabelas e figuras prontas, texto por escrever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Corpus triado, protocolo por registrar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 ordem de submissão é a ordem da tabela. O Artigo 2 cita o Artigo 1 para a definição dos perfis, o que impede a inversão da ordem sem duplicação de método.</w:t>
      </w:r>
    </w:p>
    <w:p>
      <w:pPr>
        <w:pStyle w:val="Heading2"/>
      </w:pPr>
      <w:r>
        <w:t>3.1 Artigo 1, em detalhe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Objetivo primário.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Descrever a distribuição dos seis perfis de humor em atletas de handebol de elite e caracterizar cada perfil pelo escore das seis subescalas. </w:t>
      </w:r>
      <w:r>
        <w:rPr>
          <w:rFonts w:ascii="Times New Roman" w:hAnsi="Times New Roman"/>
          <w:b/>
          <w:i w:val="0"/>
          <w:color w:val="000000"/>
          <w:sz w:val="24"/>
        </w:rPr>
        <w:t>Objetivos secundários.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Comparar a classificação pelo critério de Morgan e pelo de Parsons-Smith; estabelecer percentis de referência das seis subescalas para esta população; verificar a consistência interna e a estabilidade das medidas.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Amostra.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Vinte e sete atletas de handebol masculino de primeira divisão, com 22,2 anos de idade em média e 11,3 anos de experiência. </w:t>
      </w:r>
      <w:r>
        <w:rPr>
          <w:rFonts w:ascii="Times New Roman" w:hAnsi="Times New Roman"/>
          <w:b/>
          <w:i w:val="0"/>
          <w:color w:val="000000"/>
          <w:sz w:val="24"/>
        </w:rPr>
        <w:t>Instrumento.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Escala de Humor de Brunel, 24 itens, seis subescalas de 0 a 16 pontos. </w:t>
      </w:r>
      <w:r>
        <w:rPr>
          <w:rFonts w:ascii="Times New Roman" w:hAnsi="Times New Roman"/>
          <w:b/>
          <w:i w:val="0"/>
          <w:color w:val="000000"/>
          <w:sz w:val="24"/>
        </w:rPr>
        <w:t>Unidade de análise.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observação diária, porque o perfil é um estado e não um traço.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Como o perfil é calculado.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 procedimento original padroniza as seis subescalas em escore T, aplica análise de agrupamento hierárquica aglomerativa com distância euclidiana quadrática pelo método de Ward para fixar o número de agrupamentos, refina as fronteiras por k-médias e confirma a classificação por análise discriminante. O número de seis agrupamentos foi verificado por inspeção do gráfico de sedimentação. Nesta amostra, sem normas de escore T para handebol, a padronização foi feita dentro da própria amostra e cada observação foi atribuída ao centroide canônico mais próximo. Essa decisão precisa ser declarada no método e discutida como limitação, porque ela sozinha explica o excesso de perfil superfície mostrado na Figura 1.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3 - Os seis perfis de humor de Parsons-Smith: definição, prevalência normativa e prevalência nesta amostra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Definição pelo escore T das seis subescalas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Norma (%)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Dia 1 (%)</w:t>
            </w:r>
          </w:p>
        </w:tc>
        <w:tc>
          <w:tcPr>
            <w:tcW w:type="dxa" w:w="181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Leitura para o handebol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Iceberg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Vigor alto; tensão, depressão, raiva, fadiga e confusão baixas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29,4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40,5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Prontidão competitiva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Submerso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As seis subescalas abaixo da média, o vigor incluído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25,5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7,1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Apatia geral, sem sofrimento declarado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Barbatana de tubarão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vigor mais baixo de todos os perfis, com fadiga superior à de qualquer outro perfil exceto o Everest invertido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17,3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2,4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Risco por baixa energia em ambiente que exige alerta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Superfície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As seis subescalas próximas da média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14,8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26,2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Estado indiferenciado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Iceberg invertido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Vigor baixo com tensão, depressão, raiva, fadiga e confusão altas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10,3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9,5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Indicador clássico de síndrome de overtraining</w:t>
            </w:r>
          </w:p>
        </w:tc>
      </w:tr>
      <w:tr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Everest invertido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Vigor baixo, tensão e fadiga altas, e depressão, raiva e confusão muito altas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2,7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14,3</w:t>
            </w:r>
          </w:p>
        </w:tc>
        <w:tc>
          <w:tcPr>
            <w:tcW w:type="dxa" w:w="181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perfil mais negativo, com risco clínico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as definições e as prevalências normativas são da amostra A de Parsons-Smith, Terry e Machin (2017), sobre escores T. A prevalência nesta amostra é a do dia de repouso, pela classificação sobre escores T adotada depois da auditoria registrada em data/AUDITORIA_PERFIS_HUMOR.docx. A Figura 1 compara as duas distribuições.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Figura 1 - Prevalência de cada perfil na amostra normativa e nesta amostra (A), e efeito da padronização interna sobre essa prevalência (B)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val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elaborada pelos autores (2026).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painel B é o achado de método que o Artigo 1 precisa enfrentar de frente. A padronização dentro da amostra empurra 42 pontos percentuais para o perfil superfície e esvazia os perfis extremos, porque a média da amostra passa a ser a linha de água. A saída não é abandonar a classificação: é publicar os percentis próprios desta população, o que transforma a limitação em contribuição original e dá ao Artigo 2 uma régua estável.</w:t>
      </w:r>
    </w:p>
    <w:p>
      <w:pPr>
        <w:pStyle w:val="Heading2"/>
      </w:pPr>
      <w:r>
        <w:t>3.2 Artigo 2, em detalhe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Objetivo primário.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Quantificar o deslocamento dos perfis de humor ao longo de um microciclo pré-competitivo e relacionar esse deslocamento à carga do dia. </w:t>
      </w:r>
      <w:r>
        <w:rPr>
          <w:rFonts w:ascii="Times New Roman" w:hAnsi="Times New Roman"/>
          <w:b/>
          <w:i w:val="0"/>
          <w:color w:val="000000"/>
          <w:sz w:val="24"/>
        </w:rPr>
        <w:t>Objetivos secundários.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Identificar quais variáveis atingem mudança confiável atleta a atleta; descrever a progressão entre as três sessões de HIIT; propor recomendações de monitoramento.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O limite que o artigo não pode ultrapassar.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Overreaching funcional e não funcional são definidos por queda de desempenho seguida de recuperação em prazos distintos. O estudo não mediu desempenho depois do microciclo. O artigo descreve, portanto, uma assinatura de sobrecarga, composta por perda de vigor, acúmulo de fadiga, queda da recuperação percebida e dissociação entre estímulo externo e custo interno, e discute o risco. Ele não diagnostica. Essa distinção precisa aparecer no título, no resumo e na discussão, sob pena de recusa na primeira rodada de revisão.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O achado que sustenta o artigo.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Nas três sessões de HIIT, com protocolo equivalente, a frequência cardíaca de pico cai de 184 para 181 batimentos por minuto enquanto o esforço percebido sobe de 8,5 para 9,1 e a perturbação total do humor sobe de 4,8 para 8,0, com inclinação de 1,76 ponto por sessão. O mesmo estímulo externo passa a custar mais. Essa dissociação é o marcador clássico de sobrecarga acumulada e é o que dá ao Artigo 2 uma tese própria, independente do Artigo 1.</w:t>
      </w:r>
    </w:p>
    <w:p>
      <w:pPr>
        <w:pStyle w:val="Heading1"/>
      </w:pPr>
      <w:r>
        <w:t>4 PANORAMA DA PRODUÇÃO INTERNACIONAL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escopo do panorama reúne 525 estudos de uma biblioteca de 2445 registros: população de handebol, publicação entre 2006 e 2026 e construto psicológico aferido. O filtro de delineamento da revisão não se aplica aqui de propósito, porque uma das perguntas é justamente quantas revisões já existem.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4 - Panorama da produção internacional sobre psicologia do esporte no handebol, por delineamento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Delineamento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Estudos</w:t>
            </w:r>
          </w:p>
        </w:tc>
        <w:tc>
          <w:tcPr>
            <w:tcW w:type="dxa" w:w="3024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% do escopo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2,7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Ensaio controlado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9,5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Experimental sem controle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9,0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Transversal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7,8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Longitudinal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7,4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Observacional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1,7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Estudo de caso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1,5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Validação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3,2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 especificado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298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56,8</w:t>
            </w:r>
          </w:p>
        </w:tc>
      </w:tr>
      <w:tr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Outro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024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0,4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o escopo reúne os registros da biblioteca com população de handebol, publicação entre 2006 e 2026 e construto psicológico aferido, sem filtro de delineamento, o que totaliza 525 estudos de uma biblioteca de 2445. A categoria não especificado agrupa os registros cujo resumo não declara o delineamento, e é a maior limitação deste panorama.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resposta à pergunta sobre revisões é 14 em 525 estudos, isto é, 2,7% do escopo. Nenhuma delas cobre psicologia do esporte no handebol como campo: a busca dirigida confirma revisões de análise de jogo no handebol e revisões de saúde mental no esporte em geral, mas nenhuma na interseção. Isso justifica uma revisão de escopo e explica por que ela deve mapear, e não sintetizar efeito.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Sobre os delineamentos primários, há 50 ensaios controlados, 47 estudos experimentais sem controle, 41 transversais e 39 longitudinais. O número mais relevante para o método da revisão é outro: 298 estudos, 56,8% do escopo, não declaram o delineamento no resumo. A revisão precisa prever leitura de texto completo para essa fatia, e o protocolo precisa dizer isso.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5 - Família de variável psicológica por delineamento: onde o campo já produziu e onde está vazio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Família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Revisão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Ensaio contr.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Experimental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Transversal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Longitudinal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Outros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Não espec.</w:t>
            </w:r>
          </w:p>
        </w:tc>
        <w:tc>
          <w:tcPr>
            <w:tcW w:type="dxa" w:w="100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3"/>
              </w:rPr>
              <w:t>Total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Ansiedade e estresse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115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214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Motivação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78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141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Cognição e atenção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131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Sono e recuperação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113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Coping e resiliência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100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Burnout e saúde mental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59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Autoeficácia e confiança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55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Coesão e grupo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36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Humor e afeto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32</w:t>
            </w:r>
          </w:p>
        </w:tc>
      </w:tr>
      <w:tr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Personalidade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00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3"/>
              </w:rPr>
              <w:t>27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um estudo pode aferir mais de uma família, de modo que a soma das linhas excede o total do escopo. Famílias com menos de cinco estudos foram omitidas. A coluna outros reúne observacional, estudo de caso, validação e demais delineamentos. A linha de humor e afeto é a penúltima em volume e a que concentra a lacuna descrita na seção 5.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tabela cruzada mostra onde o campo já produziu e onde está vazio. Ansiedade e estresse concentram o maior volume, com 214 estudos. Humor e afeto aparecem em apenas 32 estudos, 6,1% do escopo, dos quais apenas 1 é longitudinal e 1 é revisão. Essa é a lacuna que os Artigos 1 e 2 ocupam.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Quanto ao cruzamento com variáveis não psicológicas, 246 estudos do escopo, 46,9%, combinam medida psicológica com medida fisiológica ou física. Entre os estudos de humor, 10 combinam com variável física e 9 com variável fisiológica. A combinação é, portanto, prática corrente e esperada pelo revisor, o que reforça a seção 6.</w:t>
      </w:r>
    </w:p>
    <w:p>
      <w:pPr>
        <w:pStyle w:val="Heading1"/>
      </w:pPr>
      <w:r>
        <w:t>5 LACUNAS DA LITERATURA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busca dirigida na literatura internacional, cruzada com o panorama acima, delimita quatro lacunas. Elas são o argumento de originalidade dos dois artigos e devem aparecer, nessa ordem, no último parágrafo da introdução de cada um.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Nenhum estudo aplica os seis perfis de humor ao handebol.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Os agrupamentos foram descritos em população geral (Parsons-Smith, Terry e Machin, 2017), validados em contexto esportivo geral (Quartiroli e outros, 2018), em Singapura (Han e outros, 2020) e em atletas brasileiros de elite e de base (Rohlfs e outros, 2024). Nenhum desses recortes é de handebol.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Falta acompanhamento longitudinal do humor no handebol.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Dos 32 estudos de humor no escopo, um é longitudinal. O precedente mais próximo acompanha medidas biológicas e psicológicas ao longo de uma temporada em handebolistas (Bresciani e outros, 2010), com POMS e sem classificação por perfil.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Não há estudo que ligue o deslocamento do perfil ao tipo de carga.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literatura de sobrecarga trabalha com escores contínuos de humor (Aubry e outros, 2014; Bellinger, 2020) ou com questionários de bem-estar (Nobari e outros, 2021), nunca com a migração entre perfis.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O BRUMS quase não é usado em handebol.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No escopo, dois estudos declaram BRUMS e os demais usam POMS ou escala genérica. Publicar percentis de referência do BRUMS para handebol de elite preenche uma lacuna instrumental, além da lacuna substantiva.</w:t>
      </w:r>
    </w:p>
    <w:p>
      <w:pPr>
        <w:pStyle w:val="Heading1"/>
      </w:pPr>
      <w:r>
        <w:t>6 VARIÁVEIS QUE FORTALECEM A MEDIDA DE HUMOR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 pedido é claro: identificar o que, medido junto do humor, torna o estudo mais forte, de modo que uma medida ajude a validar a outra. O princípio vem do modelo de avaliação multicomponente do sofrimento de treino (Main e Grove, 2009): nenhuma medida isolada distingue carga aguda de sobrecarga acumulada, e a convergência entre medidas de natureza diferente é o que sustenta a inferência.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6 - Variáveis que reforçam a medida de humor por validação cruzada, e o que o estudo já 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Variável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O que ela valida no humor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Já coletada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Onde está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PSE da sessão e carga interna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Confirma que a variação do humor acompanha a carga percebida e não o acaso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Tabelas 49 e 72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FC de pico e percentual da FC máxima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Separa o estímulo externo entregue do custo psicológico percebido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49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Recuperação da FC em um minuto e deriva cardíaca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Marca o estado autonômico agudo, que antecede a queda de vigor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49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TQR, escala de recuperação total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Valida a fadiga do BRUMS por um instrumento independente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69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Sonolência e sono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Explica parte da queda de vigor que não vem da carga do dia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69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Fadiga física e fadiga mental em escala separada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Distingue o componente somático do componente cognitivo da fadiga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Tabelas 20 e 65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Estresse percebido (PSS-14)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Controla o estresse de vida, que confunde a leitura da carga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Tabela 69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Variabilidade da frequência cardíaca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É a medida mais citada de convergência com a resposta psicométrica à sobrecarga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Coleta futura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Marcadores bioquímicos (cortisol, testosterona, creatina quinase)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Ancora a resposta psicológica em substrato fisiológico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Parcial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Coleta salivar declarada, sem tabela de resultado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Desempenho (salto, arremesso, teste de campo)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Fecha o critério de overreaching funcional, que exige queda de desempenho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Coleta futura, bloqueia o diagnóstico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as três últimas linhas são as que faltam. A ausência de medida de desempenho impede o diagnóstico formal de overreaching funcional ou não funcional, que exige queda de desempenho seguida de recuperação, e por isso o Artigo 2 descreve assinatura de sobrecarga, nunca diagnóstico.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 leitura da tabela é direta. O estudo já tem sete das dez variáveis, e as três que faltam têm pesos muito diferentes. A variabilidade da frequência cardíaca é a mais citada na literatura de convergência psicométrica com a sobrecarga (Flatt e outros, 2017) e seria um ganho grande em um estudo futuro, mas a ausência dela não invalida nada do que está escrito. A ausência de medida de desempenho, ao contrário, muda o que o Artigo 2 pode afirmar, e por isso aparece de novo na seção 7.</w:t>
      </w:r>
    </w:p>
    <w:p>
      <w:pPr>
        <w:pStyle w:val="Heading1"/>
      </w:pPr>
      <w:r>
        <w:t>7 PENDÊNCIAS QUE BLOQUEIAM A SUBMISSÃO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Cinco pendências separam o material atual de um manuscrito submissível. Duas delas são bloqueantes e têm data na primeira semana do cronograma.</w:t>
      </w:r>
    </w:p>
    <w:p>
      <w:pPr>
        <w:spacing w:line="240" w:lineRule="auto" w:after="6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Tabela 7 - Pendências que bloqueiam a submissão, com o responsável e a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Pendência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Por que bloqueia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O que resolve</w:t>
            </w:r>
          </w:p>
        </w:tc>
        <w:tc>
          <w:tcPr>
            <w:tcW w:type="dxa" w:w="2268"/>
            <w:tcBorders>
              <w:top w:val="single" w:sz="6" w:space="0" w:color="000000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Data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Número de observações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manuscrito reporta 456 observações, mas o desenho comporta no máximo 351, isto é, 27 atletas por treze coletas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Planilha de fluxo com atletas por dia por coleta e observações válidas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06/09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Duas séries de médias diárias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 estimativa em dois passos e a média bruta divergem, e as duas circulam no mesmo relatório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Adotar a estimativa em dois passos em toda a série e recalcular a média bruta apenas como anexo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06/09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Três valores de MDC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O MDC derivado do alfa, o derivado do ômega e o derivado do ICC dão limites diferentes para a mesma decisão de mudança confiável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Fixar o MDC do ICC(2,1) como referência e declarar os demais em nota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11/10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Normas de escore T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Sem normas de handebol, a classificação por padronização interna infla o perfil superfície em 42 pontos percentuais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Publicar percentis próprios no Artigo 1 e declarar a limitação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13/09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Registro do protocolo da revisão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Revisão de escopo sem registro prévio perde pontos de avaliação e dificulta a publicação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Registrar no PROSPERO ou no OSF antes da extração</w:t>
            </w:r>
          </w:p>
        </w:tc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single" w:sz="6" w:space="0" w:color="000000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18/10</w:t>
            </w:r>
          </w:p>
        </w:tc>
      </w:tr>
    </w:tbl>
    <w:p>
      <w:pPr>
        <w:spacing w:line="240" w:lineRule="auto" w:after="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16"/>
        </w:rPr>
        <w:t>Fonte: dados da pesquisa (2026).</w:t>
      </w:r>
    </w:p>
    <w:p>
      <w:pPr>
        <w:spacing w:line="240" w:lineRule="auto" w:after="12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6"/>
        </w:rPr>
        <w:t>Nota: as duas primeiras pendências são bloqueantes para o Artigo 1 e, por consequência, para toda a série.</w:t>
      </w:r>
    </w:p>
    <w:p>
      <w:pPr>
        <w:spacing w:line="24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Há ainda um item que não é pendência de dados e sim de material: a análise bibliométrica sobre qualidade do ar, de Fábio e Danilo, citada como referência de formato, não está no repositório do projeto e não foi localizada. Sem o arquivo não é possível espelhar a estrutura dela na revisão de escopo. Basta enviá-lo para que a seção de método da revisão seja ajustada ao mesmo padrão.</w:t>
      </w:r>
    </w:p>
    <w:p>
      <w:pPr>
        <w:pStyle w:val="Heading1"/>
      </w:pPr>
      <w:r>
        <w:t>8 O QUE FAZER NA PRÓXIMA SEMANA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Levantar a planilha de fluxo de dados e fechar o número de observações válidas. Sem isso o Artigo 1 não fecha.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Confirmar que a estimativa em dois passos é a série oficial da série de artigos, e arquivar a média bruta como anexo.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Enviar a análise bibliométrica de referência.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Decidir a revista alvo do Artigo 1 entre as duas propostas, porque o limite de palavras e o formato de tabela mudam a redação.</w:t>
      </w:r>
    </w:p>
    <w:p>
      <w:pPr>
        <w:pStyle w:val="ListBullet"/>
        <w:spacing w:line="240" w:lineRule="auto" w:after="40"/>
        <w:ind w:left="567" w:hanging="227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Marcar a data da revisão do orientador dentro da semana de 21 a 27 de setembro, que é o gargalo do cronograma.</w:t>
      </w:r>
    </w:p>
    <w:p>
      <w:pPr>
        <w:pStyle w:val="Heading1"/>
      </w:pPr>
      <w:r>
        <w:t>REFERÊNCIAS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AUBRY, A. e outros. Functional overreaching: the key to peak performance during the taper? Medicine &amp; Science in Sports &amp; Exercise, v. 46, n. 9, p. 1769-1777, 2014.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BELLINGER, P. Functional overreaching in endurance athletes: a necessity or cause for concern? Sports Medicine, v. 50, p. 1059-1073, 2020.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BRESCIANI, G. e outros. Monitoring biological and psychological measures throughout an entire season in male handball players. European Journal of Sport Science, v. 10, n. 6, p. 377-384, 2010.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FLATT, A. A. e outros. Heart rate variability and psychometric responses to overload and tapering in collegiate sprint-swimmers. Journal of Science and Medicine in Sport, v. 20, n. 6, p. 606-610, 2017.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HAN, C. S. Y. e outros. Mood profiling in Singapore: cross-cultural validation and potential applications of mood profile clusters. Frontiers in Psychology, v. 11, art. 665, 2020.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MAIN, L. C.; GROVE, J. R. A multi-component assessment model for monitoring training distress among athletes. European Journal of Sport Science, v. 9, n. 4, p. 195-202, 2009.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MORGAN, W. P. Test of champions: the iceberg profile. Psychology Today, v. 14, p. 92-108, 1980.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NOBARI, H. e outros. Weekly wellness variations to identify non-functional overreaching syndrome in Turkish national youth wrestlers. Sustainability, v. 13, n. 9, art. 4667, 2021.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PARSONS-SMITH, R. L.; TERRY, P. C.; MACHIN, M. A. Identification and description of novel mood profile clusters. Frontiers in Psychology, v. 8, art. 1958, 2017.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QUARTIROLI, A. e outros. Cross-cultural validation of mood profile clusters in a sport and exercise context. Frontiers in Psychology, v. 9, art. 1949, 2018.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REIGAL, R. E. e outros. Psychological profile, competitive anxiety, moods and self-efficacy in beach handball players. International Journal of Environmental Research and Public Health, v. 17, n. 1, art. 241, 2019.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ROHLFS, I. C. P. M. e outros. Prevalence of specific mood profile clusters among elite and youth athletes at a Brazilian sports club. Sports, v. 12, n. 7, art. 195, 2024.</w:t>
      </w:r>
    </w:p>
    <w:p>
      <w:pPr>
        <w:spacing w:line="240" w:lineRule="auto" w:after="100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TERRY, P. C.; PARSONS-SMITH, R. L. Mood profiling for sustainable mental health among athletes. Sustainability, v. 13, n. 11, art. 6116, 2021.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aps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