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left="0" w:firstLine="0"/>
        <w:jc w:val="center"/>
      </w:pPr>
      <w:r>
        <w:rPr>
          <w:rFonts w:ascii="Times New Roman" w:hAnsi="Times New Roman"/>
          <w:b/>
          <w:sz w:val="28"/>
        </w:rPr>
        <w:t>ESTADOS DE HUMOR EM ATLETAS DE HANDEBOL NO TREINAMENTO E NA COMPETIÇÃO: REVISÃO SISTEMÁTICA</w:t>
      </w:r>
    </w:p>
    <w:p>
      <w:pPr>
        <w:spacing w:before="0" w:after="360" w:line="240" w:lineRule="auto"/>
        <w:ind w:left="0" w:firstLine="0"/>
        <w:jc w:val="center"/>
      </w:pPr>
      <w:r>
        <w:rPr>
          <w:rFonts w:ascii="Times New Roman" w:hAnsi="Times New Roman"/>
          <w:i/>
          <w:sz w:val="24"/>
        </w:rPr>
        <w:t>Mood states in handball athletes during training and competition: a systematic review</w:t>
      </w:r>
    </w:p>
    <w:p>
      <w:pPr>
        <w:spacing w:before="0" w:after="0" w:line="240" w:lineRule="auto"/>
        <w:ind w:left="0" w:firstLine="0"/>
        <w:jc w:val="right"/>
      </w:pPr>
      <w:r>
        <w:rPr>
          <w:rFonts w:ascii="Times New Roman" w:hAnsi="Times New Roman"/>
          <w:i w:val="0"/>
          <w:sz w:val="24"/>
        </w:rPr>
        <w:t>[Autor 1]¹; [Autor 2]¹; [Autor 3]¹; [Autor 4]¹</w:t>
      </w:r>
    </w:p>
    <w:p>
      <w:pPr>
        <w:spacing w:before="0" w:after="360" w:line="240" w:lineRule="auto"/>
        <w:ind w:left="0" w:firstLine="0"/>
        <w:jc w:val="right"/>
      </w:pPr>
      <w:r>
        <w:rPr>
          <w:rFonts w:ascii="Times New Roman" w:hAnsi="Times New Roman"/>
          <w:i w:val="0"/>
          <w:sz w:val="20"/>
        </w:rPr>
        <w:t>¹ Laboratório de Psicologia do Esporte e do Exercício (Lape), Centro de Ciências da Saúde e do Esporte, Universidade do Estado de Santa Catarina (UDESC), Florianópolis, SC, Brasil. Correspondência: [e-mail].</w:t>
      </w:r>
    </w:p>
    <w:p>
      <w:pPr>
        <w:spacing w:before="0" w:after="120" w:line="240" w:lineRule="auto"/>
        <w:ind w:left="0" w:firstLine="0"/>
        <w:jc w:val="center"/>
      </w:pPr>
      <w:r>
        <w:rPr>
          <w:rFonts w:ascii="Times New Roman" w:hAnsi="Times New Roman"/>
          <w:b/>
          <w:sz w:val="24"/>
        </w:rPr>
        <w:t>RESUMO</w:t>
      </w:r>
    </w:p>
    <w:p>
      <w:pPr>
        <w:spacing w:before="0" w:after="0" w:line="240" w:lineRule="auto"/>
        <w:ind w:left="0" w:firstLine="0"/>
        <w:jc w:val="both"/>
      </w:pPr>
      <w:r>
        <w:rPr>
          <w:rFonts w:ascii="Times New Roman" w:hAnsi="Times New Roman"/>
          <w:i w:val="0"/>
          <w:sz w:val="24"/>
        </w:rPr>
        <w:t>Esta revisão sistemática sintetizou as evidências sobre estados de humor em atletas e praticantes de handebol, com pergunta estruturada pelo acrônimo PCC (população, conceito e contexto). Oito bases foram consultadas, sem restrição de data, entre maio e setembro de 2026, além das listas de referências e da revisão de mapeamento paralela, com atualização em outubro de 2026 (PubMed, Europe PMC, Crossref, Semantic Scholar, Dialnet e busca de citações). Seleção, extração e avaliação da qualidade (seis itens) seguiram critérios explícitos. Triados 689 registros na versão inicial e 724 na atualização, incluíram-se 36 estudos (38 relatórios), publicados entre 2008 e 2026, dez deles oriundos da atualização. A produção concentrou-se na Espanha (8 estudos), na Tunísia (5) e no Brasil (5), com predomínio de amostras femininas (16 estudos) e mediana de 25 participantes. O Profile of Mood States e suas versões foram empregados em 18 estudos. O humor foi relacionado sobretudo a variáveis psicológicas, intervenções verbais ou psicológicas, marcadores biológicos e carga de treino. O encorajamento verbal e o feedback modificaram o humor na prática, a vitória em jogo oficial associou-se a humor mais positivo, e o prazer no treino acompanhou a carga física. O humor oscilou com o horário do dia e com a carga, com resultados divergentes quanto à fase do ciclo menstrual, e a dieta personalizada e a suplementação tiveram efeitos inconsistentes. A qualidade foi alta em 18 estudos, moderada em 14 e baixa em 4. O humor responde à carga, ao contexto competitivo e à interação com treinador e colegas, mas a evidência é escassa, heterogênea em instrumento e momento da medida e raramente experimental, o que impede a síntese quantitativa.</w:t>
      </w:r>
    </w:p>
    <w:p>
      <w:pPr>
        <w:spacing w:before="120" w:after="360" w:line="240" w:lineRule="auto"/>
        <w:ind w:left="0" w:firstLine="0"/>
        <w:jc w:val="both"/>
      </w:pPr>
      <w:r>
        <w:rPr>
          <w:rFonts w:ascii="Times New Roman" w:hAnsi="Times New Roman"/>
          <w:b/>
          <w:sz w:val="24"/>
        </w:rPr>
        <w:t>Palavras-chave:</w:t>
      </w:r>
      <w:r>
        <w:rPr>
          <w:rFonts w:ascii="Times New Roman" w:hAnsi="Times New Roman"/>
          <w:i w:val="0"/>
          <w:sz w:val="24"/>
        </w:rPr>
        <w:t xml:space="preserve"> handebol; estados de humor; afeto; psicologia do esporte; revisão sistemática.</w:t>
      </w:r>
    </w:p>
    <w:p>
      <w:pPr>
        <w:spacing w:before="0" w:after="120" w:line="240" w:lineRule="auto"/>
        <w:ind w:left="0" w:firstLine="0"/>
        <w:jc w:val="center"/>
      </w:pPr>
      <w:r>
        <w:rPr>
          <w:rFonts w:ascii="Times New Roman" w:hAnsi="Times New Roman"/>
          <w:b/>
          <w:sz w:val="24"/>
        </w:rPr>
        <w:t>ABSTRACT</w:t>
      </w:r>
    </w:p>
    <w:p>
      <w:pPr>
        <w:spacing w:before="0" w:after="0" w:line="240" w:lineRule="auto"/>
        <w:ind w:left="0" w:firstLine="0"/>
        <w:jc w:val="both"/>
      </w:pPr>
      <w:r>
        <w:rPr>
          <w:rFonts w:ascii="Times New Roman" w:hAnsi="Times New Roman"/>
          <w:i w:val="0"/>
          <w:sz w:val="24"/>
        </w:rPr>
        <w:t>This systematic review synthesised the evidence on mood states in handball athletes and practitioners, with the question structured by the PCC framework (population, concept and context). Eight databases were searched without date restrictions between May and September 2026, supplemented by reference lists and a parallel mapping review, and updated in October 2026 (PubMed, Europe PMC, Crossref, Semantic Scholar, Dialnet and citation searching). Selection, extraction and quality appraisal (six items) followed explicit criteria. Screening of 689 records in the original version and 724 in the update yielded 36 studies (38 reports) published between 2008 and 2026, ten of them from the update. Research was concentrated in Spain (8 studies), Tunisia (5) and Brazil (5), with predominantly female samples (16 studies) and a median of 25 participants. The Profile of Mood States and its versions were used in 18 studies. Mood was related mainly to psychological variables, verbal or psychological interventions, biological markers and training load. Verbal encouragement and feedback changed mood during practice, winning an official match was associated with more positive mood, and pleasure during training tracked physical load. Mood varied with time of day and load, with divergent findings for menstrual cycle phase, and personalised diets and supplementation had inconsistent effects. Quality was high in 18 studies, moderate in 14 and low in 4. Mood responds to load, competitive context and interaction with coaches and teammates, but the evidence is scarce, heterogeneous in instrument and timing of measurement and rarely experimental, which precludes quantitative synthesis.</w:t>
      </w:r>
    </w:p>
    <w:p>
      <w:pPr>
        <w:spacing w:before="120" w:after="240" w:line="240" w:lineRule="auto"/>
        <w:ind w:left="0" w:firstLine="0"/>
        <w:jc w:val="both"/>
      </w:pPr>
      <w:r>
        <w:rPr>
          <w:rFonts w:ascii="Times New Roman" w:hAnsi="Times New Roman"/>
          <w:b/>
          <w:sz w:val="24"/>
        </w:rPr>
        <w:t>Keywords:</w:t>
      </w:r>
      <w:r>
        <w:rPr>
          <w:rFonts w:ascii="Times New Roman" w:hAnsi="Times New Roman"/>
          <w:i w:val="0"/>
          <w:sz w:val="24"/>
        </w:rPr>
        <w:t xml:space="preserve"> handball; mood states; affect; sport psychology; systematic review.</w:t>
      </w:r>
    </w:p>
    <w:p>
      <w:pPr>
        <w:keepNext/>
        <w:spacing w:before="240" w:after="240" w:line="360" w:lineRule="auto"/>
        <w:ind w:left="0" w:firstLine="0"/>
        <w:jc w:val="left"/>
      </w:pPr>
      <w:r>
        <w:rPr>
          <w:rFonts w:ascii="Times New Roman" w:hAnsi="Times New Roman"/>
          <w:b/>
          <w:sz w:val="24"/>
        </w:rPr>
        <w:t>1 INTRODUÇÃO</w:t>
      </w:r>
    </w:p>
    <w:p>
      <w:pPr>
        <w:spacing w:before="0" w:after="0" w:line="360" w:lineRule="auto"/>
        <w:ind w:left="0" w:firstLine="709"/>
        <w:jc w:val="both"/>
      </w:pPr>
      <w:r>
        <w:rPr>
          <w:rFonts w:ascii="Times New Roman" w:hAnsi="Times New Roman"/>
          <w:i w:val="0"/>
          <w:sz w:val="24"/>
        </w:rPr>
        <w:t>O estado de humor designa uma disposição afetiva difusa, de intensidade moderada e duração variável, que persiste além do evento desencadeador e influencia a avaliação dos acontecimentos subsequentes (BEEDIE; TERRY; LANE, 2005; LAZARUS, 2000). Essa propriedade distingue o humor da emoção, que responde a um objeto identificável e se extingue com ele, e justifica sua medida em dimensões separadas, como tensão, depressão, raiva, vigor, fadiga e confusão, em vez de um escore único de bem-estar (LANE; TERRY, 2000; MEYERS; TAMIR, 2024). No esporte, o humor ocupa posição particular entre as medidas psicológicas: situa-se entre a resposta transitória à carga e o sinal precoce de sofrimento mental, condição que o tornou indicador de bem-estar e de tolerância ao treinamento (GOUTTEBARGE et al., 2019; REARDON et al., 2019; TERRY; PARSONS-SMITH, 2021).</w:t>
      </w:r>
    </w:p>
    <w:p>
      <w:pPr>
        <w:spacing w:before="0" w:after="0" w:line="360" w:lineRule="auto"/>
        <w:ind w:left="0" w:firstLine="709"/>
        <w:jc w:val="both"/>
      </w:pPr>
      <w:r>
        <w:rPr>
          <w:rFonts w:ascii="Times New Roman" w:hAnsi="Times New Roman"/>
          <w:i w:val="0"/>
          <w:sz w:val="24"/>
        </w:rPr>
        <w:t>Essa dupla função originou-se de um problema aplicado. O acompanhamento psicométrico de atletas submetidos a variação programada da carga mostrou que a perturbação do perfil de humor acompanha o aumento da carga e regride com a recuperação (MORGAN et al., 1987; RAGLIN, 2001). A consolidação instrumental ocorreu depois, com valores normativos para amostras atléticas (TERRY; LANE, 2000), a versão abreviada validada para adultos, a Brunel Mood Scale (TERRY; LANE; FOGARTY, 2003), sua adaptação brasileira (ROHLFS et al., 2008) e validações transculturais recentes (HAN; PARSONS-SMITH; TERRY, 2020; TERRY et al., 2022). Outras famílias de instrumentos ocupam espaços próprios, como as escalas de afeto positivo e negativo (WATSON; CLARK; TELLEGEN, 1988) e as escalas de valência afetiva durante o esforço (EKKEKAKIS; BRAND, 2019; HARDY; REJESKI, 1989), e tratá-las como equivalentes compromete a síntese.</w:t>
      </w:r>
    </w:p>
    <w:p>
      <w:pPr>
        <w:spacing w:before="0" w:after="0" w:line="360" w:lineRule="auto"/>
        <w:ind w:left="0" w:firstLine="709"/>
        <w:jc w:val="both"/>
      </w:pPr>
      <w:r>
        <w:rPr>
          <w:rFonts w:ascii="Times New Roman" w:hAnsi="Times New Roman"/>
          <w:i w:val="0"/>
          <w:sz w:val="24"/>
        </w:rPr>
        <w:t>A relação entre humor e desempenho, por sua vez, permanece em debate. Metanálises clássicas e recentes associaram vigor elevado e baixos escores de tensão, depressão, raiva, fadiga e confusão a melhor desempenho, com efeitos de magnitude pequena a moderada, dependentes do tipo de esporte e do momento da medida (BEEDIE; TERRY; LANE, 2000; LOCHBAUM et al., 2021). A identificação de perfis de humor, que agrupa atletas segundo a configuração das seis dimensões, ampliou o uso aplicado da medida e revelou padrões de risco em atletas de elite e de formação (DE MIRANDA ROHLFS et al., 2024; PARSONS-SMITH; TERRY; MACHIN, 2017). No monitoramento da carga, as medidas autorrelatadas de humor e de recuperação mostraram-se mais sensíveis que muitos marcadores objetivos (KELLMANN et al., 2018; SAW; MAIN; GASTIN, 2016), e intervenções sobre o sono, por exemplo, produzem efeitos mensuráveis no humor de atletas (GWYTHER et al., 2022).</w:t>
      </w:r>
    </w:p>
    <w:p>
      <w:pPr>
        <w:spacing w:before="0" w:after="0" w:line="360" w:lineRule="auto"/>
        <w:ind w:left="0" w:firstLine="709"/>
        <w:jc w:val="both"/>
      </w:pPr>
      <w:r>
        <w:rPr>
          <w:rFonts w:ascii="Times New Roman" w:hAnsi="Times New Roman"/>
          <w:i w:val="0"/>
          <w:sz w:val="24"/>
        </w:rPr>
        <w:t>No handebol, essas questões assumem forma específica. A modalidade é intermitente, de alta intensidade e de contato constante (MICHALSIK; AAGAARD; MADSEN, 2012; PÓVOAS et al., 2012), com demandas que variam conforme a posição e o sistema defensivo (SAAL et al., 2026; WAGNER; RADIC; HINZ, 2025). O regulamento impõe situações de pressão contínua, como o ataque com goleiro substituído (GÜMÜŞ; GENÇOĞLU, 2020; MACEDO et al., 2025), a inferioridade numérica nas exclusões (TREJO-SILVA et al., 2025) e o tempo técnico em jogos equilibrados (JETZKE; WINTER, 2022), e o jogador decide em frações de segundo sob oposição direta do adversário (HINZ et al., 2022; RAAB; JOHNSON, 2007). Além disso, o clima criado pelo treinador e as interações do grupo modulam as emoções dos atletas (ROBAZZA et al., 2022; TAMMINEN et al., 2019). Nesse cenário, o humor interessa tanto como resposta à carga física e ao calendário quanto como estado que antecede e acompanha decisões sob pressão.</w:t>
      </w:r>
    </w:p>
    <w:p>
      <w:pPr>
        <w:spacing w:before="0" w:after="0" w:line="360" w:lineRule="auto"/>
        <w:ind w:left="0" w:firstLine="709"/>
        <w:jc w:val="both"/>
      </w:pPr>
      <w:r>
        <w:rPr>
          <w:rFonts w:ascii="Times New Roman" w:hAnsi="Times New Roman"/>
          <w:i w:val="0"/>
          <w:sz w:val="24"/>
        </w:rPr>
        <w:t>Apesar dessa relevância, a evidência sobre humor no handebol permanece dispersa. A revisão de mapeamento conduzida em paralelo por esta equipe identificou o humor e o afeto entre os domínios psicológicos investigados na modalidade, com estudos que relacionaram o humor ao horário do dia (ESSID et al., 2022), ao ciclo menstrual (MIRALLES-AMORÓS et al., 2023), à carga da temporada (BATALLA-GAVALDA et al., 2025) e ao estado endócrino (RATZ-SULYOK et al., 2026a). Há revisões sistemáticas sobre humor em contextos esportivos específicos, como a perda rápida de peso no judô (LAKICEVIC et al., 2024), mas não foram identificadas revisões que reúnam, com critérios explícitos, a evidência sobre estados de humor em atletas de handebol nem que avaliem a qualidade metodológica desses estudos.</w:t>
      </w:r>
    </w:p>
    <w:p>
      <w:pPr>
        <w:spacing w:before="0" w:after="0" w:line="360" w:lineRule="auto"/>
        <w:ind w:left="0" w:firstLine="709"/>
        <w:jc w:val="both"/>
      </w:pPr>
      <w:r>
        <w:rPr>
          <w:rFonts w:ascii="Times New Roman" w:hAnsi="Times New Roman"/>
          <w:i w:val="0"/>
          <w:sz w:val="24"/>
        </w:rPr>
        <w:t xml:space="preserve">Diante dessa lacuna, formulou-se a seguinte pergunta de pesquisa, estruturada segundo o acrônimo PCC (população, conceito e contexto) (MUNN et al., 2018b; PETERS et al., 2020): </w:t>
      </w:r>
      <w:r>
        <w:rPr>
          <w:rFonts w:ascii="Times New Roman" w:hAnsi="Times New Roman"/>
          <w:i/>
          <w:sz w:val="24"/>
        </w:rPr>
        <w:t>como os estados de humor foram medidos em atletas e praticantes de handebol (população) e quais resultados foram relatados sobre o humor e as variáveis a ele relacionadas (conceito) nos contextos de treinamento e de competição (contexto)?</w:t>
      </w:r>
      <w:r>
        <w:rPr>
          <w:rFonts w:ascii="Times New Roman" w:hAnsi="Times New Roman"/>
          <w:i w:val="0"/>
          <w:sz w:val="24"/>
        </w:rPr>
        <w:t xml:space="preserve"> O objetivo geral foi sintetizar sistematicamente as evidências sobre os estados de humor em atletas de handebol e avaliar a qualidade metodológica dos estudos. Para tanto, foram definidas cinco questões de pesquisa (QP):</w:t>
      </w:r>
    </w:p>
    <w:p>
      <w:pPr>
        <w:spacing w:before="0" w:after="0" w:line="360" w:lineRule="auto"/>
        <w:ind w:left="0" w:firstLine="709"/>
        <w:jc w:val="both"/>
      </w:pPr>
      <w:r>
        <w:rPr>
          <w:rFonts w:ascii="Times New Roman" w:hAnsi="Times New Roman"/>
          <w:b/>
          <w:sz w:val="24"/>
        </w:rPr>
        <w:t>QP1.</w:t>
      </w:r>
      <w:r>
        <w:rPr>
          <w:rFonts w:ascii="Times New Roman" w:hAnsi="Times New Roman"/>
          <w:i w:val="0"/>
          <w:sz w:val="24"/>
        </w:rPr>
        <w:t xml:space="preserve"> Quais são as características dos estudos que investigaram o humor no handebol e de suas populações?</w:t>
      </w:r>
    </w:p>
    <w:p>
      <w:pPr>
        <w:spacing w:before="0" w:after="0" w:line="360" w:lineRule="auto"/>
        <w:ind w:left="0" w:firstLine="709"/>
        <w:jc w:val="both"/>
      </w:pPr>
      <w:r>
        <w:rPr>
          <w:rFonts w:ascii="Times New Roman" w:hAnsi="Times New Roman"/>
          <w:b/>
          <w:sz w:val="24"/>
        </w:rPr>
        <w:t>QP2.</w:t>
      </w:r>
      <w:r>
        <w:rPr>
          <w:rFonts w:ascii="Times New Roman" w:hAnsi="Times New Roman"/>
          <w:i w:val="0"/>
          <w:sz w:val="24"/>
        </w:rPr>
        <w:t xml:space="preserve"> Com quais instrumentos, em quais dimensões e em que momentos o humor foi medido?</w:t>
      </w:r>
    </w:p>
    <w:p>
      <w:pPr>
        <w:spacing w:before="0" w:after="0" w:line="360" w:lineRule="auto"/>
        <w:ind w:left="0" w:firstLine="709"/>
        <w:jc w:val="both"/>
      </w:pPr>
      <w:r>
        <w:rPr>
          <w:rFonts w:ascii="Times New Roman" w:hAnsi="Times New Roman"/>
          <w:b/>
          <w:sz w:val="24"/>
        </w:rPr>
        <w:t>QP3.</w:t>
      </w:r>
      <w:r>
        <w:rPr>
          <w:rFonts w:ascii="Times New Roman" w:hAnsi="Times New Roman"/>
          <w:i w:val="0"/>
          <w:sz w:val="24"/>
        </w:rPr>
        <w:t xml:space="preserve"> A que variáveis o humor foi relacionado (carga, recuperação, desempenho, marcadores biológicos, variáveis psicológicas, lesão e ciclo menstrual) e com que resultados?</w:t>
      </w:r>
    </w:p>
    <w:p>
      <w:pPr>
        <w:spacing w:before="0" w:after="0" w:line="360" w:lineRule="auto"/>
        <w:ind w:left="0" w:firstLine="709"/>
        <w:jc w:val="both"/>
      </w:pPr>
      <w:r>
        <w:rPr>
          <w:rFonts w:ascii="Times New Roman" w:hAnsi="Times New Roman"/>
          <w:b/>
          <w:sz w:val="24"/>
        </w:rPr>
        <w:t>QP4.</w:t>
      </w:r>
      <w:r>
        <w:rPr>
          <w:rFonts w:ascii="Times New Roman" w:hAnsi="Times New Roman"/>
          <w:i w:val="0"/>
          <w:sz w:val="24"/>
        </w:rPr>
        <w:t xml:space="preserve"> Quais intervenções foram testadas sobre o humor e com que efeitos?</w:t>
      </w:r>
    </w:p>
    <w:p>
      <w:pPr>
        <w:spacing w:before="0" w:after="0" w:line="360" w:lineRule="auto"/>
        <w:ind w:left="0" w:firstLine="709"/>
        <w:jc w:val="both"/>
      </w:pPr>
      <w:r>
        <w:rPr>
          <w:rFonts w:ascii="Times New Roman" w:hAnsi="Times New Roman"/>
          <w:b/>
          <w:sz w:val="24"/>
        </w:rPr>
        <w:t>QP5.</w:t>
      </w:r>
      <w:r>
        <w:rPr>
          <w:rFonts w:ascii="Times New Roman" w:hAnsi="Times New Roman"/>
          <w:i w:val="0"/>
          <w:sz w:val="24"/>
        </w:rPr>
        <w:t xml:space="preserve"> Qual é a qualidade metodológica dos estudos e quais lacunas persistem?</w:t>
      </w:r>
    </w:p>
    <w:p>
      <w:pPr>
        <w:keepNext/>
        <w:spacing w:before="240" w:after="240" w:line="360" w:lineRule="auto"/>
        <w:ind w:left="0" w:firstLine="0"/>
        <w:jc w:val="left"/>
      </w:pPr>
      <w:r>
        <w:rPr>
          <w:rFonts w:ascii="Times New Roman" w:hAnsi="Times New Roman"/>
          <w:b/>
          <w:sz w:val="24"/>
        </w:rPr>
        <w:t>2 MÉTODO</w:t>
      </w:r>
    </w:p>
    <w:p>
      <w:pPr>
        <w:keepNext/>
        <w:spacing w:before="240" w:after="120" w:line="360" w:lineRule="auto"/>
        <w:ind w:left="0" w:firstLine="0"/>
        <w:jc w:val="left"/>
      </w:pPr>
      <w:r>
        <w:rPr>
          <w:rFonts w:ascii="Times New Roman" w:hAnsi="Times New Roman"/>
          <w:b/>
          <w:sz w:val="24"/>
        </w:rPr>
        <w:t>2.1 Delineamento e diretrizes</w:t>
      </w:r>
    </w:p>
    <w:p>
      <w:pPr>
        <w:spacing w:before="0" w:after="0" w:line="360" w:lineRule="auto"/>
        <w:ind w:left="0" w:firstLine="709"/>
        <w:jc w:val="both"/>
      </w:pPr>
      <w:r>
        <w:rPr>
          <w:rFonts w:ascii="Times New Roman" w:hAnsi="Times New Roman"/>
          <w:i w:val="0"/>
          <w:sz w:val="24"/>
        </w:rPr>
        <w:t>Trata-se de revisão sistemática conduzida segundo o guia de Galvão e Ricarte (2019) e relatada conforme o PRISMA 2020 (PAGE et al., 2021). A pergunta foi estruturada pelo acrônimo PCC, recomendado para perguntas descritivas, de medida e de caracterização, nas quais não há intervenção atribuída nem comparação obrigatória (MUNN et al., 2018b; PETERS et al., 2020). A opção por revisão sistemática, e não de escopo, seguiu o critério de Munn et al. (2018a): a pergunta trata de um construto específico, medido em um conjunto delimitado de estudos, com avaliação da qualidade metodológica. Nesta versão atualizada, o fluxo de seleção segue o modelo do PRISMA 2020 para atualizações, que distingue os estudos da versão anterior dos identificados na nova busca (PAGE et al., 2021). A revisão compartilhou a infraestrutura de busca e de registro da revisão de mapeamento conduzida em paralelo, mas não seus critérios de elegibilidade. O protocolo foi redigido antes da busca, e declara-se que o registro prospectivo no PROSPERO não foi concluído.</w:t>
      </w:r>
    </w:p>
    <w:p>
      <w:pPr>
        <w:keepNext/>
        <w:spacing w:before="120" w:after="60" w:line="240" w:lineRule="auto"/>
        <w:ind w:left="0" w:firstLine="0"/>
        <w:jc w:val="both"/>
      </w:pPr>
      <w:r>
        <w:rPr>
          <w:rFonts w:ascii="Times New Roman" w:hAnsi="Times New Roman"/>
          <w:b/>
          <w:sz w:val="20"/>
        </w:rPr>
        <w:t>Quadro 1</w:t>
      </w:r>
      <w:r>
        <w:rPr>
          <w:rFonts w:ascii="Times New Roman" w:hAnsi="Times New Roman"/>
          <w:i w:val="0"/>
          <w:sz w:val="20"/>
        </w:rPr>
        <w:t xml:space="preserve"> – Estrutura da pergunta de pesquisa segundo o acrônimo PCC</w:t>
      </w:r>
    </w:p>
    <w:tbl>
      <w:tblPr>
        <w:jc w:val="center"/>
        <w:tblLayout w:type="fixed"/>
        <w:tblLook w:firstColumn="1" w:firstRow="1" w:lastColumn="0" w:lastRow="0" w:noHBand="0" w:noVBand="1" w:val="04A0"/>
        <w:tblW w:w="9072" w:type="dxa"/>
        <w:tblLayout w:type="fixed"/>
      </w:tblPr>
      <w:tblGrid>
        <w:gridCol w:w="1814"/>
        <w:gridCol w:w="7257"/>
      </w:tblGrid>
      <w:tr>
        <w:trPr>
          <w:tblHeader w:val="true"/>
        </w:trPr>
        <w:tc>
          <w:tcPr>
            <w:tcW w:w="1814" w:type="dxa"/>
            <w:tcBorders>
              <w:top w:val="single" w:sz="8" w:color="000000"/>
              <w:left w:val="single" w:sz="4" w:color="000000"/>
              <w:bottom w:val="single" w:sz="6" w:color="000000"/>
              <w:right w:val="single" w:sz="4" w:color="000000"/>
            </w:tcBorders>
          </w:tcPr>
          <w:p>
            <w:pPr>
              <w:spacing w:lineRule="exact" w:line="230"/>
              <w:jc w:val="center"/>
            </w:pPr>
            <w:r>
              <w:rPr>
                <w:rFonts w:ascii="Times New Roman" w:hAnsi="Times New Roman"/>
                <w:b/>
                <w:sz w:val="20"/>
              </w:rPr>
              <w:t>Elemento</w:t>
            </w:r>
          </w:p>
        </w:tc>
        <w:tc>
          <w:tcPr>
            <w:tcW w:w="7257" w:type="dxa"/>
            <w:tcBorders>
              <w:top w:val="single" w:sz="8" w:color="000000"/>
              <w:left w:val="single" w:sz="4" w:color="000000"/>
              <w:bottom w:val="single" w:sz="6" w:color="000000"/>
              <w:right w:val="single" w:sz="4" w:color="000000"/>
            </w:tcBorders>
          </w:tcPr>
          <w:p>
            <w:pPr>
              <w:spacing w:lineRule="exact" w:line="230"/>
              <w:jc w:val="center"/>
            </w:pPr>
            <w:r>
              <w:rPr>
                <w:rFonts w:ascii="Times New Roman" w:hAnsi="Times New Roman"/>
                <w:b/>
                <w:sz w:val="20"/>
              </w:rPr>
              <w:t>Definição nesta revisão</w:t>
            </w:r>
          </w:p>
        </w:tc>
      </w:tr>
      <w:tr>
        <w:tc>
          <w:tcPr>
            <w:tcW w:w="1814"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P: População</w:t>
            </w:r>
          </w:p>
        </w:tc>
        <w:tc>
          <w:tcPr>
            <w:tcW w:w="7257"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Atletas e praticantes de handebol de quadra, de praia ou em cadeira de rodas, de qualquer sexo, idade e nível competitivo; amostras multiesporte apenas com dados do handebol separáveis</w:t>
            </w:r>
          </w:p>
        </w:tc>
      </w:tr>
      <w:tr>
        <w:tc>
          <w:tcPr>
            <w:tcW w:w="1814"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C: Conceito</w:t>
            </w:r>
          </w:p>
        </w:tc>
        <w:tc>
          <w:tcPr>
            <w:tcW w:w="7257"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Estado de humor, de afeto ou de ânimo medido por instrumento declarado (POMS e versões, BRUMS, PANAS, Feeling Scale, subescala afetiva do SAM, dimensões isoladas do perfil de humor), e as variáveis a ele relacionadas</w:t>
            </w:r>
          </w:p>
        </w:tc>
      </w:tr>
      <w:tr>
        <w:tc>
          <w:tcPr>
            <w:tcW w:w="1814" w:type="dxa"/>
            <w:tcBorders>
              <w:top w:val="single" w:sz="4" w:color="000000"/>
              <w:left w:val="single" w:sz="4" w:color="000000"/>
              <w:bottom w:val="single" w:sz="8" w:color="000000"/>
              <w:right w:val="single" w:sz="4" w:color="000000"/>
            </w:tcBorders>
          </w:tcPr>
          <w:p>
            <w:pPr>
              <w:spacing w:lineRule="exact" w:line="230" w:before="20" w:after="20"/>
              <w:jc w:val="left"/>
            </w:pPr>
            <w:r>
              <w:rPr>
                <w:rFonts w:ascii="Times New Roman" w:hAnsi="Times New Roman"/>
                <w:i w:val="0"/>
                <w:sz w:val="20"/>
              </w:rPr>
              <w:t>C: Contexto</w:t>
            </w:r>
          </w:p>
        </w:tc>
        <w:tc>
          <w:tcPr>
            <w:tcW w:w="7257" w:type="dxa"/>
            <w:tcBorders>
              <w:top w:val="single" w:sz="4" w:color="000000"/>
              <w:left w:val="single" w:sz="4" w:color="000000"/>
              <w:bottom w:val="single" w:sz="8" w:color="000000"/>
              <w:right w:val="single" w:sz="4" w:color="000000"/>
            </w:tcBorders>
          </w:tcPr>
          <w:p>
            <w:pPr>
              <w:spacing w:lineRule="exact" w:line="230" w:before="20" w:after="20"/>
              <w:jc w:val="left"/>
            </w:pPr>
            <w:r>
              <w:rPr>
                <w:rFonts w:ascii="Times New Roman" w:hAnsi="Times New Roman"/>
                <w:i w:val="0"/>
                <w:sz w:val="20"/>
              </w:rPr>
              <w:t>Treinamento e competição, em qualquer país, período da temporada ou condição experimental</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2.2 Fontes de informação e estratégia de busca</w:t>
      </w:r>
    </w:p>
    <w:p>
      <w:pPr>
        <w:spacing w:before="0" w:after="0" w:line="360" w:lineRule="auto"/>
        <w:ind w:left="0" w:firstLine="709"/>
        <w:jc w:val="both"/>
      </w:pPr>
      <w:r>
        <w:rPr>
          <w:rFonts w:ascii="Times New Roman" w:hAnsi="Times New Roman"/>
          <w:i w:val="0"/>
          <w:sz w:val="24"/>
        </w:rPr>
        <w:t>A busca foi realizada entre maio e setembro de 2026, sem restrição de data, em oito bases: Crossref, Europe PMC, LILACS, OpenAlex, PubMed, SciELO, Scopus e Web of Science (Coleção Principal). Examinaram-se também as listas de referências dos estudos incluídos e, como fonte complementar, a revisão de mapeamento paralela. Foram construídas cinco estratégias, que geraram 45 consultas: a estratégia mestra cruza os blocos de handebol e de humor; três estratégias combinam o handebol, respectivamente, com os nomes dos instrumentos, as dimensões do perfil de humor e os termos de afeto; e a quinta busca revisões sobre o tema (Tabela 1). Após a primeira rodada, a busca foi repetida na LILACS e na SciELO em português e em espanhol, para recuperar estudos ibero-americanos. Os registros foram reunidos e deduplicados pelo DOI, pelo identificador PubMed e pelo título normalizado.</w:t>
      </w:r>
    </w:p>
    <w:p>
      <w:pPr>
        <w:spacing w:before="0" w:after="0" w:line="360" w:lineRule="auto"/>
        <w:ind w:left="0" w:firstLine="709"/>
        <w:jc w:val="both"/>
      </w:pPr>
      <w:r>
        <w:rPr>
          <w:rFonts w:ascii="Times New Roman" w:hAnsi="Times New Roman"/>
          <w:i w:val="0"/>
          <w:sz w:val="24"/>
        </w:rPr>
        <w:t>A busca foi atualizada em outubro de 2026, sem restrição de data, em duas rodadas e cinco fontes com acesso programático: PubMed (título e resumo e todos os campos), Europe PMC (resumo e texto completo) e Crossref, na primeira rodada, e Semantic Scholar (busca booleana em lote) e Dialnet, na segunda, esta voltada à produção ibero-americana. Os registros foram deduplicados pelos mesmos identificadores, e um filtro automático reteve apenas aqueles em que o termo handebol aparecia associado a termo de humor, de afeto ou psicológico. A busca de citações percorreu, no OpenCitations, as referências e as citações dos estudos incluídos. A triagem e a extração da atualização seguiram os critérios e os formulários da versão anterior. O OpenAlex recusou as consultas por limite de requisições, o DOAJ esteve fora do ar, e a LILACS e a SciELO bloquearam o acesso automatizado. A Scopus e a Web of Science não foram consultadas na atualização, por exigirem acesso institucional.</w:t>
      </w:r>
    </w:p>
    <w:p>
      <w:pPr>
        <w:keepNext/>
        <w:spacing w:before="120" w:after="60" w:line="240" w:lineRule="auto"/>
        <w:ind w:left="0" w:firstLine="0"/>
        <w:jc w:val="both"/>
      </w:pPr>
      <w:r>
        <w:rPr>
          <w:rFonts w:ascii="Times New Roman" w:hAnsi="Times New Roman"/>
          <w:b/>
          <w:sz w:val="20"/>
        </w:rPr>
        <w:t>Tabela 1</w:t>
      </w:r>
      <w:r>
        <w:rPr>
          <w:rFonts w:ascii="Times New Roman" w:hAnsi="Times New Roman"/>
          <w:i w:val="0"/>
          <w:sz w:val="20"/>
        </w:rPr>
        <w:t xml:space="preserve"> – Blocos de termos e estratégias de busca</w:t>
      </w:r>
    </w:p>
    <w:tbl>
      <w:tblPr>
        <w:jc w:val="center"/>
        <w:tblLayout w:type="fixed"/>
        <w:tblLook w:firstColumn="1" w:firstRow="1" w:lastColumn="0" w:lastRow="0" w:noHBand="0" w:noVBand="1" w:val="04A0"/>
        <w:tblW w:w="9072" w:type="dxa"/>
        <w:tblLayout w:type="fixed"/>
      </w:tblPr>
      <w:tblGrid>
        <w:gridCol w:w="2041"/>
        <w:gridCol w:w="7030"/>
      </w:tblGrid>
      <w:tr>
        <w:trPr>
          <w:tblHeader w:val="true"/>
        </w:trPr>
        <w:tc>
          <w:tcPr>
            <w:tcW w:w="2041"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Bloco ou estratégia</w:t>
            </w:r>
          </w:p>
        </w:tc>
        <w:tc>
          <w:tcPr>
            <w:tcW w:w="7030"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Termos</w:t>
            </w:r>
          </w:p>
        </w:tc>
      </w:tr>
      <w:tr>
        <w:tc>
          <w:tcPr>
            <w:tcW w:w="2041" w:type="dxa"/>
            <w:tcBorders>
              <w:top w:val="nil"/>
              <w:left w:val="nil"/>
              <w:bottom w:val="nil"/>
              <w:right w:val="nil"/>
            </w:tcBorders>
          </w:tcPr>
          <w:p>
            <w:pPr>
              <w:spacing w:lineRule="exact" w:line="230" w:before="20" w:after="20"/>
              <w:jc w:val="left"/>
            </w:pPr>
            <w:r>
              <w:rPr>
                <w:rFonts w:ascii="Times New Roman" w:hAnsi="Times New Roman"/>
                <w:i w:val="0"/>
                <w:sz w:val="20"/>
              </w:rPr>
              <w:t>B1 Handebol</w:t>
            </w:r>
          </w:p>
        </w:tc>
        <w:tc>
          <w:tcPr>
            <w:tcW w:w="7030" w:type="dxa"/>
            <w:tcBorders>
              <w:top w:val="nil"/>
              <w:left w:val="nil"/>
              <w:bottom w:val="nil"/>
              <w:right w:val="nil"/>
            </w:tcBorders>
          </w:tcPr>
          <w:p>
            <w:pPr>
              <w:spacing w:lineRule="exact" w:line="230" w:before="20" w:after="20"/>
              <w:jc w:val="left"/>
            </w:pPr>
            <w:r>
              <w:rPr>
                <w:rFonts w:ascii="Times New Roman" w:hAnsi="Times New Roman"/>
                <w:i w:val="0"/>
                <w:sz w:val="20"/>
              </w:rPr>
              <w:t>“handball” OR “team handball” OR “beach handball” OR “wheelchair handball” OR “handebol” OR “balonmano”</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B2 Humor e afeto</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“mood” OR “mood state</w:t>
            </w:r>
            <w:r>
              <w:rPr>
                <w:rFonts w:ascii="Times New Roman" w:hAnsi="Times New Roman"/>
                <w:i/>
                <w:sz w:val="20"/>
              </w:rPr>
              <w:t>” OR “affect</w:t>
            </w:r>
            <w:r>
              <w:rPr>
                <w:rFonts w:ascii="Times New Roman" w:hAnsi="Times New Roman"/>
                <w:i w:val="0"/>
                <w:sz w:val="20"/>
              </w:rPr>
              <w:t>” OR “positive affect” OR “negative affect” OR “feeling” OR “humor” OR “estado de ánimo” OR “estados de humor”</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B3 Instrumentos</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“Profile of Mood States” OR “POMS” OR “Brunel Mood Scale” OR “BRUMS” OR “PANAS” OR “Feeling Scale” OR “Self-Assessment Manikin”</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B4 Dimensões</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“vigor” OR “tension” OR “anger” OR “depression” OR “confusion” OR “fatigue” OR “total mood disturbance”</w:t>
            </w:r>
          </w:p>
        </w:tc>
      </w:tr>
      <w:tr>
        <w:tc>
          <w:tcPr>
            <w:tcW w:w="2041"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Estratégias</w:t>
            </w:r>
          </w:p>
        </w:tc>
        <w:tc>
          <w:tcPr>
            <w:tcW w:w="7030"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E1: B1 AND B2; E2: B1 AND B3; E3: B1 AND B4; E4: B1 AND “affective response*”; E5: B1 AND B2 AND “review”</w:t>
            </w:r>
          </w:p>
        </w:tc>
      </w:tr>
    </w:tbl>
    <w:p>
      <w:pPr>
        <w:spacing w:before="40" w:after="0" w:line="240" w:lineRule="auto"/>
        <w:ind w:left="0" w:firstLine="0"/>
        <w:jc w:val="both"/>
      </w:pPr>
      <w:r>
        <w:rPr>
          <w:rFonts w:ascii="Times New Roman" w:hAnsi="Times New Roman"/>
          <w:i w:val="0"/>
          <w:sz w:val="20"/>
        </w:rPr>
        <w:t>Nota: as strings completas, base a base, constam do material suplementar.</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2.3 Critérios de elegibilidade</w:t>
      </w:r>
    </w:p>
    <w:p>
      <w:pPr>
        <w:spacing w:before="0" w:after="0" w:line="360" w:lineRule="auto"/>
        <w:ind w:left="0" w:firstLine="709"/>
        <w:jc w:val="both"/>
      </w:pPr>
      <w:r>
        <w:rPr>
          <w:rFonts w:ascii="Times New Roman" w:hAnsi="Times New Roman"/>
          <w:i w:val="0"/>
          <w:sz w:val="24"/>
        </w:rPr>
        <w:t>Os critérios foram fixados no protocolo antes da busca (Tabela 2). A decisão de maior consequência foi a definição explícita do que conta como medida de humor: a fronteira entre humor e carga é tênue na literatura esportiva, e deixá-la implícita resultaria em um conjunto impossível de delimitar posteriormente (KELLMANN et al., 2018; SAW; MAIN; GASTIN, 2016). Cada exclusão registrou um único motivo, em vocabulário fechado.</w:t>
      </w:r>
    </w:p>
    <w:p>
      <w:pPr>
        <w:keepNext/>
        <w:spacing w:before="120" w:after="60" w:line="240" w:lineRule="auto"/>
        <w:ind w:left="0" w:firstLine="0"/>
        <w:jc w:val="both"/>
      </w:pPr>
      <w:r>
        <w:rPr>
          <w:rFonts w:ascii="Times New Roman" w:hAnsi="Times New Roman"/>
          <w:b/>
          <w:sz w:val="20"/>
        </w:rPr>
        <w:t>Tabela 2</w:t>
      </w:r>
      <w:r>
        <w:rPr>
          <w:rFonts w:ascii="Times New Roman" w:hAnsi="Times New Roman"/>
          <w:i w:val="0"/>
          <w:sz w:val="20"/>
        </w:rPr>
        <w:t xml:space="preserve"> – Critérios de inclusão e de exclusão</w:t>
      </w:r>
    </w:p>
    <w:tbl>
      <w:tblPr>
        <w:jc w:val="center"/>
        <w:tblLayout w:type="fixed"/>
        <w:tblLook w:firstColumn="1" w:firstRow="1" w:lastColumn="0" w:lastRow="0" w:noHBand="0" w:noVBand="1" w:val="04A0"/>
        <w:tblW w:w="9072" w:type="dxa"/>
        <w:tblLayout w:type="fixed"/>
      </w:tblPr>
      <w:tblGrid>
        <w:gridCol w:w="1474"/>
        <w:gridCol w:w="3515"/>
        <w:gridCol w:w="4082"/>
      </w:tblGrid>
      <w:tr>
        <w:trPr>
          <w:tblHeader w:val="true"/>
        </w:trPr>
        <w:tc>
          <w:tcPr>
            <w:tcW w:w="1474"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Elemento</w:t>
            </w:r>
          </w:p>
        </w:tc>
        <w:tc>
          <w:tcPr>
            <w:tcW w:w="3515"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Critérios de inclusão</w:t>
            </w:r>
          </w:p>
        </w:tc>
        <w:tc>
          <w:tcPr>
            <w:tcW w:w="4082"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Critérios de exclusão</w:t>
            </w:r>
          </w:p>
        </w:tc>
      </w:tr>
      <w:tr>
        <w:tc>
          <w:tcPr>
            <w:tcW w:w="1474" w:type="dxa"/>
            <w:tcBorders>
              <w:top w:val="nil"/>
              <w:left w:val="nil"/>
              <w:bottom w:val="nil"/>
              <w:right w:val="nil"/>
            </w:tcBorders>
          </w:tcPr>
          <w:p>
            <w:pPr>
              <w:spacing w:lineRule="exact" w:line="230" w:before="20" w:after="20"/>
              <w:jc w:val="left"/>
            </w:pPr>
            <w:r>
              <w:rPr>
                <w:rFonts w:ascii="Times New Roman" w:hAnsi="Times New Roman"/>
                <w:i w:val="0"/>
                <w:sz w:val="20"/>
              </w:rPr>
              <w:t>População</w:t>
            </w:r>
          </w:p>
        </w:tc>
        <w:tc>
          <w:tcPr>
            <w:tcW w:w="3515" w:type="dxa"/>
            <w:tcBorders>
              <w:top w:val="nil"/>
              <w:left w:val="nil"/>
              <w:bottom w:val="nil"/>
              <w:right w:val="nil"/>
            </w:tcBorders>
          </w:tcPr>
          <w:p>
            <w:pPr>
              <w:spacing w:lineRule="exact" w:line="230" w:before="20" w:after="20"/>
              <w:jc w:val="left"/>
            </w:pPr>
            <w:r>
              <w:rPr>
                <w:rFonts w:ascii="Times New Roman" w:hAnsi="Times New Roman"/>
                <w:i w:val="0"/>
                <w:sz w:val="20"/>
              </w:rPr>
              <w:t>Atletas ou praticantes de handebol, de qualquer sexo, idade e nível</w:t>
            </w:r>
          </w:p>
        </w:tc>
        <w:tc>
          <w:tcPr>
            <w:tcW w:w="4082" w:type="dxa"/>
            <w:tcBorders>
              <w:top w:val="nil"/>
              <w:left w:val="nil"/>
              <w:bottom w:val="nil"/>
              <w:right w:val="nil"/>
            </w:tcBorders>
          </w:tcPr>
          <w:p>
            <w:pPr>
              <w:spacing w:lineRule="exact" w:line="230" w:before="20" w:after="20"/>
              <w:jc w:val="left"/>
            </w:pPr>
            <w:r>
              <w:rPr>
                <w:rFonts w:ascii="Times New Roman" w:hAnsi="Times New Roman"/>
                <w:i w:val="0"/>
                <w:sz w:val="20"/>
              </w:rPr>
              <w:t>Amostras sem handebol ou multiesporte sem separação; árbitros, treinadores ou torcedores</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Conceito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Humor, afeto ou ânimo medido por instrumento declarado</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Índice de Hooper ou escalas de bem-estar sem dimensão afetiva; esforço percebido; fadiga mental por tarefa; ansiedade ou depressão clínica medidas isoladamente</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Contexto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Treinamento, competição ou condição experimental</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Contexto exclusivamente clínico ou de reabilitação</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Tipo de estudo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Estudos originais com dados primários, de qualquer delineamento</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Anais sem dados, editoriais, protocolos, resenhas e revisões</w:t>
            </w:r>
          </w:p>
        </w:tc>
      </w:tr>
      <w:tr>
        <w:tc>
          <w:tcPr>
            <w:tcW w:w="1474"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Idioma</w:t>
            </w:r>
          </w:p>
        </w:tc>
        <w:tc>
          <w:tcPr>
            <w:tcW w:w="3515"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Inglês, português e espanhol</w:t>
            </w:r>
          </w:p>
        </w:tc>
        <w:tc>
          <w:tcPr>
            <w:tcW w:w="4082"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Outros idiomas</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2.4 Seleção dos estudos</w:t>
      </w:r>
    </w:p>
    <w:p>
      <w:pPr>
        <w:spacing w:before="0" w:after="0" w:line="360" w:lineRule="auto"/>
        <w:ind w:left="0" w:firstLine="709"/>
        <w:jc w:val="both"/>
      </w:pPr>
      <w:r>
        <w:rPr>
          <w:rFonts w:ascii="Times New Roman" w:hAnsi="Times New Roman"/>
          <w:i w:val="0"/>
          <w:sz w:val="24"/>
        </w:rPr>
        <w:t>A triagem por título e resumo foi realizada em duplicata, com as categorias incluir, excluir e dúvida. Os registros classificados como dúvida seguiram obrigatoriamente para o texto completo, e as divergências foram resolvidas por uma terceira avaliação (OUZZANI et al., 2016). As etapas foram assistidas por modelo de linguagem submetido aos critérios do protocolo, com registro da justificativa de cada decisão. A concordância foi expressa pelo kappa de Cohen (COHEN, 1960; LANDIS; KOCH, 1977), que, nessas condições, mede a consistência entre regras de decisão, e não a concordância entre avaliadores humanos independentes (MCHUGH, 2012). A conferência humana por amostragem está em andamento, e os resultados devem ser considerados provisórios até sua conclusão.</w:t>
      </w:r>
    </w:p>
    <w:p>
      <w:pPr>
        <w:keepNext/>
        <w:spacing w:before="240" w:after="120" w:line="360" w:lineRule="auto"/>
        <w:ind w:left="0" w:firstLine="0"/>
        <w:jc w:val="left"/>
      </w:pPr>
      <w:r>
        <w:rPr>
          <w:rFonts w:ascii="Times New Roman" w:hAnsi="Times New Roman"/>
          <w:b/>
          <w:sz w:val="24"/>
        </w:rPr>
        <w:t>2.5 Extração dos dados</w:t>
      </w:r>
    </w:p>
    <w:p>
      <w:pPr>
        <w:spacing w:before="0" w:after="0" w:line="360" w:lineRule="auto"/>
        <w:ind w:left="0" w:firstLine="709"/>
        <w:jc w:val="both"/>
      </w:pPr>
      <w:r>
        <w:rPr>
          <w:rFonts w:ascii="Times New Roman" w:hAnsi="Times New Roman"/>
          <w:i w:val="0"/>
          <w:sz w:val="24"/>
        </w:rPr>
        <w:t>Os textos completos foram buscados em acesso aberto. De cada estudo, extraíram-se: autoria, ano, país, tamanho, sexo, idade e nível competitivo da amostra, modalidade, delineamento, contexto e momento da medida, instrumento e dimensões do humor, variáveis relacionadas, intervenção, principais resultados sobre o humor e direção do achado (associação ou efeito relatado, ausência de associação, resultado misto, descritivo ou não determinável). Cada resultado foi vinculado a um trecho literal da fonte, e a origem da informação (texto completo ou resumo) foi registrada. A extração completa consta do Apêndice A.</w:t>
      </w:r>
    </w:p>
    <w:p>
      <w:pPr>
        <w:keepNext/>
        <w:spacing w:before="240" w:after="120" w:line="360" w:lineRule="auto"/>
        <w:ind w:left="0" w:firstLine="0"/>
        <w:jc w:val="left"/>
      </w:pPr>
      <w:r>
        <w:rPr>
          <w:rFonts w:ascii="Times New Roman" w:hAnsi="Times New Roman"/>
          <w:b/>
          <w:sz w:val="24"/>
        </w:rPr>
        <w:t>2.6 Avaliação da qualidade metodológica</w:t>
      </w:r>
    </w:p>
    <w:p>
      <w:pPr>
        <w:spacing w:before="0" w:after="0" w:line="360" w:lineRule="auto"/>
        <w:ind w:left="0" w:firstLine="709"/>
        <w:jc w:val="both"/>
      </w:pPr>
      <w:r>
        <w:rPr>
          <w:rFonts w:ascii="Times New Roman" w:hAnsi="Times New Roman"/>
          <w:i w:val="0"/>
          <w:sz w:val="24"/>
        </w:rPr>
        <w:t>A qualidade metodológica foi avaliada por seis itens adaptados de instrumentos para estudos observacionais e transversais (DOWNES et al., 2016): definição clara do objetivo e da população; descrição da amostra; uso de instrumento de humor validado e nomeado; declaração do momento da medida; presença de comparador, controle ou ajuste para confundimento; e análise estatística adequada, com medidas de variabilidade. Cada item foi classificado como sim, não ou incerto, e a pontuação correspondeu ao número de itens atendidos (0 a 6). Escores de 5 ou 6 indicaram qualidade alta, de 3 ou 4, moderada, e de 0 a 2, baixa. A pontuação descreve o relato e o delineamento e não substitui a avaliação formal do risco de viés.</w:t>
      </w:r>
    </w:p>
    <w:p>
      <w:pPr>
        <w:keepNext/>
        <w:spacing w:before="240" w:after="120" w:line="360" w:lineRule="auto"/>
        <w:ind w:left="0" w:firstLine="0"/>
        <w:jc w:val="left"/>
      </w:pPr>
      <w:r>
        <w:rPr>
          <w:rFonts w:ascii="Times New Roman" w:hAnsi="Times New Roman"/>
          <w:b/>
          <w:sz w:val="24"/>
        </w:rPr>
        <w:t>2.7 Síntese dos dados</w:t>
      </w:r>
    </w:p>
    <w:p>
      <w:pPr>
        <w:spacing w:before="0" w:after="0" w:line="360" w:lineRule="auto"/>
        <w:ind w:left="0" w:firstLine="709"/>
        <w:jc w:val="both"/>
      </w:pPr>
      <w:r>
        <w:rPr>
          <w:rFonts w:ascii="Times New Roman" w:hAnsi="Times New Roman"/>
          <w:i w:val="0"/>
          <w:sz w:val="24"/>
        </w:rPr>
        <w:t>A síntese foi narrativa e estruturada conforme a diretriz SWiM (CAMPBELL et al., 2020), com agrupamento por instrumento, variável relacionada e delineamento, e com a direção do achado como métrica padronizada. A metanálise não foi realizada, por decisão anterior à inspeção dos dados: os estudos diferem em instrumento, momento da medida, delineamento e desfecho, e a recomendação para as ciências do esporte condiciona a combinação de estimativas à existência de métrica comum e de informação suficiente sobre a incerteza (HOPKINS et al., 2009). A trajetória temporal da produção foi descrita por média móvel centrada de três anos, com intervalo de confiança exato de Poisson (GARWOOD, 1936). A suavização reduz a variação aleatória e preserva a tendência (CLEVELAND, 1979; HYNDMAN, 2011), e a derivada da série suavizada identifica o ponto de maior aceleração sem amplificar o ruído (SAVITZKY; GOLAY, 1964; TRUONG; OUDRE; VAYATIS, 2020).</w:t>
      </w:r>
    </w:p>
    <w:p>
      <w:pPr>
        <w:keepNext/>
        <w:spacing w:before="240" w:after="240" w:line="360" w:lineRule="auto"/>
        <w:ind w:left="0" w:firstLine="0"/>
        <w:jc w:val="left"/>
      </w:pPr>
      <w:r>
        <w:rPr>
          <w:rFonts w:ascii="Times New Roman" w:hAnsi="Times New Roman"/>
          <w:b/>
          <w:sz w:val="24"/>
        </w:rPr>
        <w:t>3 RESULTADOS</w:t>
      </w:r>
    </w:p>
    <w:p>
      <w:pPr>
        <w:keepNext/>
        <w:spacing w:before="240" w:after="120" w:line="360" w:lineRule="auto"/>
        <w:ind w:left="0" w:firstLine="0"/>
        <w:jc w:val="left"/>
      </w:pPr>
      <w:r>
        <w:rPr>
          <w:rFonts w:ascii="Times New Roman" w:hAnsi="Times New Roman"/>
          <w:b/>
          <w:sz w:val="24"/>
        </w:rPr>
        <w:t>3.1 Seleção dos estudos</w:t>
      </w:r>
    </w:p>
    <w:p>
      <w:pPr>
        <w:spacing w:before="0" w:after="0" w:line="360" w:lineRule="auto"/>
        <w:ind w:left="0" w:firstLine="709"/>
        <w:jc w:val="both"/>
      </w:pPr>
      <w:r>
        <w:rPr>
          <w:rFonts w:ascii="Times New Roman" w:hAnsi="Times New Roman"/>
          <w:i w:val="0"/>
          <w:sz w:val="24"/>
        </w:rPr>
        <w:t>Na versão inicial, a busca identificou 1.421 registros nas oito bases e 2 nas listas de referências. Após a remoção de 734 duplicatas, 689 registros foram triados por título e resumo, com exclusão de 576. Dos 113 relatórios procurados, 54 não foram recuperados ou localizados, e 59 foram avaliados quanto à elegibilidade, 5 deles apenas pelo resumo, por falta do texto completo. Foram excluídos 33 e incluídos 26, aos quais a revisão de mapeamento paralela acrescentou um relatório, o que totalizou 26 estudos e 27 relatórios. Na atualização, as cinco fontes retornaram 4.326 registros. Após a remoção de 894 duplicatas e de 2.708 registros pelo filtro automático, 724 foram triados e 683, excluídos. Dos 41 relatórios procurados, 14 já constavam da versão anterior, 5 não foram recuperados ou identificados e 22 foram avaliados. Destes, 12 foram excluídos e 10 incluídos, correspondentes a nove estudos novos e a um relatório adicional de estudo já incluído. A busca de citações acrescentou um estudo (MORENAS-AGUILAR et al., 2023). O conjunto final reúne 38 relatórios de 36 estudos, pois dois deles descrevem a mesma amostra (BATALLA-GAVALDA et al., 2025, 2026) e um resumo de congresso complementa o artigo completo de outro estudo (RATZ-SULYOK et al., 2026a, 2026b) (Figura 1). Na versão inicial, a concordância entre as passagens de triagem foi de 0,988, com kappa de 0,959 (IC 95%: 0,926 a 0,984). A Tabela 3 apresenta os motivos de exclusão.</w:t>
      </w:r>
    </w:p>
    <w:p>
      <w:pPr>
        <w:keepNext/>
        <w:spacing w:before="120" w:after="60" w:line="240" w:lineRule="auto"/>
        <w:ind w:left="0" w:firstLine="0"/>
        <w:jc w:val="both"/>
      </w:pPr>
      <w:r>
        <w:rPr>
          <w:rFonts w:ascii="Times New Roman" w:hAnsi="Times New Roman"/>
          <w:b/>
          <w:sz w:val="20"/>
        </w:rPr>
        <w:t>Figura 1</w:t>
      </w:r>
      <w:r>
        <w:rPr>
          <w:rFonts w:ascii="Times New Roman" w:hAnsi="Times New Roman"/>
          <w:i w:val="0"/>
          <w:sz w:val="20"/>
        </w:rPr>
        <w:t xml:space="preserve"> – Fluxograma PRISMA 2020 da seleção dos estudos</w:t>
      </w:r>
    </w:p>
    <w:p>
      <w:pPr>
        <w:keepNext/>
        <w:spacing w:before="0" w:after="0" w:line="240" w:lineRule="auto"/>
        <w:ind w:left="0" w:firstLine="0"/>
        <w:jc w:val="center"/>
      </w:pPr>
      <w:r>
        <w:drawing>
          <wp:inline xmlns:a="http://schemas.openxmlformats.org/drawingml/2006/main" xmlns:pic="http://schemas.openxmlformats.org/drawingml/2006/picture">
            <wp:extent cx="4140000" cy="4587190"/>
            <wp:docPr id="1" name="Picture 1"/>
            <wp:cNvGraphicFramePr>
              <a:graphicFrameLocks noChangeAspect="1"/>
            </wp:cNvGraphicFramePr>
            <a:graphic>
              <a:graphicData uri="http://schemas.openxmlformats.org/drawingml/2006/picture">
                <pic:pic>
                  <pic:nvPicPr>
                    <pic:cNvPr id="0" name="Figura1_PRISMA_RS.png"/>
                    <pic:cNvPicPr/>
                  </pic:nvPicPr>
                  <pic:blipFill>
                    <a:blip r:embed="rId10"/>
                    <a:stretch>
                      <a:fillRect/>
                    </a:stretch>
                  </pic:blipFill>
                  <pic:spPr>
                    <a:xfrm>
                      <a:off x="0" y="0"/>
                      <a:ext cx="4140000" cy="4587190"/>
                    </a:xfrm>
                    <a:prstGeom prst="rect"/>
                  </pic:spPr>
                </pic:pic>
              </a:graphicData>
            </a:graphic>
          </wp:inline>
        </w:drawing>
      </w:r>
    </w:p>
    <w:p>
      <w:pPr>
        <w:spacing w:before="40" w:after="0" w:line="240" w:lineRule="auto"/>
        <w:ind w:left="0" w:firstLine="0"/>
        <w:jc w:val="both"/>
      </w:pPr>
      <w:r>
        <w:rPr>
          <w:rFonts w:ascii="Times New Roman" w:hAnsi="Times New Roman"/>
          <w:i w:val="0"/>
          <w:sz w:val="20"/>
        </w:rPr>
        <w:t>Nota: busca inicial entre maio e setembro de 2026 e atualização em outubro de 2026; modelo do PRISMA 2020 para revisões atualizadas.</w:t>
      </w:r>
    </w:p>
    <w:p>
      <w:pPr>
        <w:spacing w:before="0" w:after="160" w:line="240" w:lineRule="auto"/>
        <w:ind w:left="0" w:firstLine="0"/>
        <w:jc w:val="left"/>
      </w:pPr>
      <w:r>
        <w:rPr>
          <w:rFonts w:ascii="Times New Roman" w:hAnsi="Times New Roman"/>
          <w:i w:val="0"/>
          <w:sz w:val="20"/>
        </w:rPr>
        <w:t>Fonte: elaborada pelos autores (2026).</w:t>
      </w:r>
    </w:p>
    <w:p>
      <w:pPr>
        <w:keepNext/>
        <w:spacing w:before="120" w:after="60" w:line="240" w:lineRule="auto"/>
        <w:ind w:left="0" w:firstLine="0"/>
        <w:jc w:val="both"/>
      </w:pPr>
      <w:r>
        <w:rPr>
          <w:rFonts w:ascii="Times New Roman" w:hAnsi="Times New Roman"/>
          <w:b/>
          <w:sz w:val="20"/>
        </w:rPr>
        <w:t>Tabela 3</w:t>
      </w:r>
      <w:r>
        <w:rPr>
          <w:rFonts w:ascii="Times New Roman" w:hAnsi="Times New Roman"/>
          <w:i w:val="0"/>
          <w:sz w:val="20"/>
        </w:rPr>
        <w:t xml:space="preserve"> – Motivos de exclusão, por etapa da seleção</w:t>
      </w:r>
    </w:p>
    <w:tbl>
      <w:tblPr>
        <w:jc w:val="center"/>
        <w:tblLayout w:type="fixed"/>
        <w:tblLook w:firstColumn="1" w:firstRow="1" w:lastColumn="0" w:lastRow="0" w:noHBand="0" w:noVBand="1" w:val="04A0"/>
        <w:tblW w:w="8845" w:type="dxa"/>
        <w:tblLayout w:type="fixed"/>
      </w:tblPr>
      <w:tblGrid>
        <w:gridCol w:w="2778"/>
        <w:gridCol w:w="1190"/>
        <w:gridCol w:w="1247"/>
        <w:gridCol w:w="1360"/>
        <w:gridCol w:w="1360"/>
        <w:gridCol w:w="907"/>
      </w:tblGrid>
      <w:tr>
        <w:trPr>
          <w:tblHeader w:val="true"/>
        </w:trPr>
        <w:tc>
          <w:tcPr>
            <w:tcW w:w="2778"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Motivo da exclusão</w:t>
            </w:r>
          </w:p>
        </w:tc>
        <w:tc>
          <w:tcPr>
            <w:tcW w:w="119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Triagem</w:t>
              <w:br/>
              <w:t>inicial</w:t>
            </w:r>
          </w:p>
        </w:tc>
        <w:tc>
          <w:tcPr>
            <w:tcW w:w="124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Texto</w:t>
              <w:br/>
              <w:t>completo</w:t>
              <w:br/>
              <w:t>inicial</w:t>
            </w:r>
          </w:p>
        </w:tc>
        <w:tc>
          <w:tcPr>
            <w:tcW w:w="136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Triagem</w:t>
              <w:br/>
              <w:t>atualização</w:t>
            </w:r>
          </w:p>
        </w:tc>
        <w:tc>
          <w:tcPr>
            <w:tcW w:w="136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Texto</w:t>
              <w:br/>
              <w:t>completo</w:t>
              <w:br/>
              <w:t>atualização</w:t>
            </w:r>
          </w:p>
        </w:tc>
        <w:tc>
          <w:tcPr>
            <w:tcW w:w="90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Total</w:t>
            </w:r>
          </w:p>
        </w:tc>
      </w:tr>
      <w:tr>
        <w:tc>
          <w:tcPr>
            <w:tcW w:w="2778" w:type="dxa"/>
            <w:tcBorders>
              <w:top w:val="nil"/>
              <w:left w:val="nil"/>
              <w:bottom w:val="nil"/>
              <w:right w:val="nil"/>
            </w:tcBorders>
          </w:tcPr>
          <w:p>
            <w:pPr>
              <w:spacing w:lineRule="exact" w:line="220" w:before="20" w:after="20"/>
              <w:jc w:val="left"/>
            </w:pPr>
            <w:r>
              <w:rPr>
                <w:rFonts w:ascii="Times New Roman" w:hAnsi="Times New Roman"/>
                <w:i w:val="0"/>
                <w:sz w:val="19"/>
              </w:rPr>
              <w:t>Não mede humor por instrumento declarado</w:t>
            </w:r>
          </w:p>
        </w:tc>
        <w:tc>
          <w:tcPr>
            <w:tcW w:w="1190" w:type="dxa"/>
            <w:tcBorders>
              <w:top w:val="nil"/>
              <w:left w:val="nil"/>
              <w:bottom w:val="nil"/>
              <w:right w:val="nil"/>
            </w:tcBorders>
          </w:tcPr>
          <w:p>
            <w:pPr>
              <w:spacing w:lineRule="exact" w:line="220" w:before="20" w:after="20"/>
              <w:jc w:val="center"/>
            </w:pPr>
            <w:r>
              <w:rPr>
                <w:rFonts w:ascii="Times New Roman" w:hAnsi="Times New Roman"/>
                <w:i w:val="0"/>
                <w:sz w:val="19"/>
              </w:rPr>
              <w:t>395</w:t>
            </w:r>
          </w:p>
        </w:tc>
        <w:tc>
          <w:tcPr>
            <w:tcW w:w="1247" w:type="dxa"/>
            <w:tcBorders>
              <w:top w:val="nil"/>
              <w:left w:val="nil"/>
              <w:bottom w:val="nil"/>
              <w:right w:val="nil"/>
            </w:tcBorders>
          </w:tcPr>
          <w:p>
            <w:pPr>
              <w:spacing w:lineRule="exact" w:line="220" w:before="20" w:after="20"/>
              <w:jc w:val="center"/>
            </w:pPr>
            <w:r>
              <w:rPr>
                <w:rFonts w:ascii="Times New Roman" w:hAnsi="Times New Roman"/>
                <w:i w:val="0"/>
                <w:sz w:val="19"/>
              </w:rPr>
              <w:t>31</w:t>
            </w:r>
          </w:p>
        </w:tc>
        <w:tc>
          <w:tcPr>
            <w:tcW w:w="1360" w:type="dxa"/>
            <w:tcBorders>
              <w:top w:val="nil"/>
              <w:left w:val="nil"/>
              <w:bottom w:val="nil"/>
              <w:right w:val="nil"/>
            </w:tcBorders>
          </w:tcPr>
          <w:p>
            <w:pPr>
              <w:spacing w:lineRule="exact" w:line="220" w:before="20" w:after="20"/>
              <w:jc w:val="center"/>
            </w:pPr>
            <w:r>
              <w:rPr>
                <w:rFonts w:ascii="Times New Roman" w:hAnsi="Times New Roman"/>
                <w:i w:val="0"/>
                <w:sz w:val="19"/>
              </w:rPr>
              <w:t>432</w:t>
            </w:r>
          </w:p>
        </w:tc>
        <w:tc>
          <w:tcPr>
            <w:tcW w:w="1360" w:type="dxa"/>
            <w:tcBorders>
              <w:top w:val="nil"/>
              <w:left w:val="nil"/>
              <w:bottom w:val="nil"/>
              <w:right w:val="nil"/>
            </w:tcBorders>
          </w:tcPr>
          <w:p>
            <w:pPr>
              <w:spacing w:lineRule="exact" w:line="220" w:before="20" w:after="20"/>
              <w:jc w:val="center"/>
            </w:pPr>
            <w:r>
              <w:rPr>
                <w:rFonts w:ascii="Times New Roman" w:hAnsi="Times New Roman"/>
                <w:i w:val="0"/>
                <w:sz w:val="19"/>
              </w:rPr>
              <w:t>8</w:t>
            </w:r>
          </w:p>
        </w:tc>
        <w:tc>
          <w:tcPr>
            <w:tcW w:w="907" w:type="dxa"/>
            <w:tcBorders>
              <w:top w:val="nil"/>
              <w:left w:val="nil"/>
              <w:bottom w:val="nil"/>
              <w:right w:val="nil"/>
            </w:tcBorders>
          </w:tcPr>
          <w:p>
            <w:pPr>
              <w:spacing w:lineRule="exact" w:line="220" w:before="20" w:after="20"/>
              <w:jc w:val="center"/>
            </w:pPr>
            <w:r>
              <w:rPr>
                <w:rFonts w:ascii="Times New Roman" w:hAnsi="Times New Roman"/>
                <w:i w:val="0"/>
                <w:sz w:val="19"/>
              </w:rPr>
              <w:t>866</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Sem handebol ou amostra multiesporte sem separação</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141</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97</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242</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Mesmo estudo repetido (duplicata)</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17</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7</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25</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Medida de árbitro, treinador ou torcedor</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30</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41</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Anais, editorial, protocolo ou resenha</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7</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119</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Idioma diferente do inglês, do português e do espanhol</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5</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6</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12</w:t>
            </w:r>
          </w:p>
        </w:tc>
      </w:tr>
      <w:tr>
        <w:tc>
          <w:tcPr>
            <w:tcW w:w="2778" w:type="dxa"/>
            <w:tcBorders>
              <w:top w:val="single" w:sz="4" w:color="000000"/>
              <w:left w:val="nil"/>
              <w:bottom w:val="single" w:sz="8" w:color="000000"/>
              <w:right w:val="nil"/>
            </w:tcBorders>
          </w:tcPr>
          <w:p>
            <w:pPr>
              <w:spacing w:lineRule="exact" w:line="220" w:before="20" w:after="20"/>
              <w:jc w:val="left"/>
            </w:pPr>
            <w:r>
              <w:rPr>
                <w:rFonts w:ascii="Times New Roman" w:hAnsi="Times New Roman"/>
                <w:b/>
                <w:sz w:val="19"/>
              </w:rPr>
              <w:t>Total</w:t>
            </w:r>
          </w:p>
        </w:tc>
        <w:tc>
          <w:tcPr>
            <w:tcW w:w="119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576</w:t>
            </w:r>
          </w:p>
        </w:tc>
        <w:tc>
          <w:tcPr>
            <w:tcW w:w="1247"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34</w:t>
            </w:r>
          </w:p>
        </w:tc>
        <w:tc>
          <w:tcPr>
            <w:tcW w:w="136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683</w:t>
            </w:r>
          </w:p>
        </w:tc>
        <w:tc>
          <w:tcPr>
            <w:tcW w:w="136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12</w:t>
            </w:r>
          </w:p>
        </w:tc>
        <w:tc>
          <w:tcPr>
            <w:tcW w:w="907"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1.305</w:t>
            </w:r>
          </w:p>
        </w:tc>
      </w:tr>
    </w:tbl>
    <w:p>
      <w:pPr>
        <w:spacing w:before="40" w:after="0" w:line="240" w:lineRule="auto"/>
        <w:ind w:left="0" w:firstLine="0"/>
        <w:jc w:val="both"/>
      </w:pPr>
      <w:r>
        <w:rPr>
          <w:rFonts w:ascii="Times New Roman" w:hAnsi="Times New Roman"/>
          <w:i w:val="0"/>
          <w:sz w:val="20"/>
        </w:rPr>
        <w:t>Nota: a coluna de texto completo da versão inicial inclui o relatório excluído entre os identificados por outros métodos. Na atualização, a categoria sem handebol abrange três registros em que o termo handball tinha outro sentido, e a categoria de humor inclui instrumentos sem nome, sem validação ou sem natureza de escala de humor, como uma lista de adjetivos de afeto e um teste projetivo de cores.</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releitura integral dos relatórios incluídos na versão anterior desta revisão alterou onze decisões. Em dois registros, o identificador digital correspondia a outro artigo, sem medida de humor; cinco mediam construtos fora do conceito, como a raiva isolada, o prazer esportivo ou um item único de bem-estar; um era duplicata de outro relatório; e três não foram localizados em nenhuma fonte. Essas decisões, registradas com a evidência textual correspondente, ilustram o risco de incluir estudos com base apenas em metadados. A atualização resolveu dois desses casos: localizou o estudo com o POMS em jovens jogadores, de identificador incorreto (BUCHHEIT, 2015), e recuperou o estudo sobre saúde, solidão e afeto em jogadores juniores, antes não localizado (IVANOVIĆ; IVANOVIĆ, 2023).</w:t>
      </w:r>
    </w:p>
    <w:p>
      <w:pPr>
        <w:keepNext/>
        <w:spacing w:before="240" w:after="120" w:line="360" w:lineRule="auto"/>
        <w:ind w:left="0" w:firstLine="0"/>
        <w:jc w:val="left"/>
      </w:pPr>
      <w:r>
        <w:rPr>
          <w:rFonts w:ascii="Times New Roman" w:hAnsi="Times New Roman"/>
          <w:b/>
          <w:sz w:val="24"/>
        </w:rPr>
        <w:t>3.2 Características dos estudos e das populações (QP1)</w:t>
      </w:r>
    </w:p>
    <w:p>
      <w:pPr>
        <w:spacing w:before="0" w:after="0" w:line="360" w:lineRule="auto"/>
        <w:ind w:left="0" w:firstLine="709"/>
        <w:jc w:val="both"/>
      </w:pPr>
      <w:r>
        <w:rPr>
          <w:rFonts w:ascii="Times New Roman" w:hAnsi="Times New Roman"/>
          <w:i w:val="0"/>
          <w:sz w:val="24"/>
        </w:rPr>
        <w:t>Os 36 estudos foram publicados entre 2008 e 2026, com média de quase dois estudos por ano e maior concentração a partir de 2018 (Figura 2A). A produção distribuiu-se por 17 países, com predomínio da Espanha (8 estudos), da Tunísia (5) e do Brasil (5). Dezesseis estudos (44,4%) investigaram apenas mulheres, dez (27,8%) apenas homens e seis amostras mistas, enquanto quatro não relataram o sexo. Os níveis de elite e de formação reuniram 8 estudos cada, e o nacional, 6; os demais envolveram atletas universitários, amadores e escolares. Dois estudos investigaram o handebol de praia (PADILHAS et al., 2018; REIGAL et al., 2020). O tamanho da amostra, relatado em 35 estudos, variou de 7 a 584 participantes, com mediana de 25, e vinte estudos reuniram menos de 30 atletas.</w:t>
      </w:r>
    </w:p>
    <w:p>
      <w:pPr>
        <w:spacing w:before="0" w:after="0" w:line="360" w:lineRule="auto"/>
        <w:ind w:left="0" w:firstLine="709"/>
        <w:jc w:val="both"/>
      </w:pPr>
      <w:r>
        <w:rPr>
          <w:rFonts w:ascii="Times New Roman" w:hAnsi="Times New Roman"/>
          <w:i w:val="0"/>
          <w:sz w:val="24"/>
        </w:rPr>
        <w:t>Quanto ao delineamento, onze estudos foram transversais, oito longitudinais, seis quase-experimentais, seis cruzados e cinco ensaios randomizados (Figura 2E). A medida ocorreu no treinamento em quinze estudos, em laboratório em seis, na competição oficial em seis e ao longo do período competitivo em seis. Dois estudos avaliaram atletas durante o confinamento da pandemia de COVID-19 (BATALLA-GAVALDA et al., 2021; MON-LÓPEZ et al., 2020). A extração baseou-se no texto completo em 28 relatórios e no resumo em 10. A Tabela 4 resume cada estudo, e o Apêndice A apresenta a extração completa.</w:t>
      </w:r>
    </w:p>
    <w:p>
      <w:pPr>
        <w:keepNext/>
        <w:spacing w:before="120" w:after="60" w:line="240" w:lineRule="auto"/>
        <w:ind w:left="0" w:firstLine="0"/>
        <w:jc w:val="both"/>
      </w:pPr>
      <w:r>
        <w:rPr>
          <w:rFonts w:ascii="Times New Roman" w:hAnsi="Times New Roman"/>
          <w:b/>
          <w:sz w:val="20"/>
        </w:rPr>
        <w:t>Figura 2</w:t>
      </w:r>
      <w:r>
        <w:rPr>
          <w:rFonts w:ascii="Times New Roman" w:hAnsi="Times New Roman"/>
          <w:i w:val="0"/>
          <w:sz w:val="20"/>
        </w:rPr>
        <w:t xml:space="preserve"> – Características dos estudos e das populações (QP1)</w:t>
      </w:r>
    </w:p>
    <w:p>
      <w:pPr>
        <w:keepNext/>
        <w:spacing w:before="0" w:after="0" w:line="240" w:lineRule="auto"/>
        <w:ind w:left="0" w:firstLine="0"/>
        <w:jc w:val="center"/>
      </w:pPr>
      <w:r>
        <w:drawing>
          <wp:inline xmlns:a="http://schemas.openxmlformats.org/drawingml/2006/main" xmlns:pic="http://schemas.openxmlformats.org/drawingml/2006/picture">
            <wp:extent cx="5220000" cy="6250685"/>
            <wp:docPr id="2" name="Picture 2"/>
            <wp:cNvGraphicFramePr>
              <a:graphicFrameLocks noChangeAspect="1"/>
            </wp:cNvGraphicFramePr>
            <a:graphic>
              <a:graphicData uri="http://schemas.openxmlformats.org/drawingml/2006/picture">
                <pic:pic>
                  <pic:nvPicPr>
                    <pic:cNvPr id="0" name="Figura2_Caracteristicas_RS.png"/>
                    <pic:cNvPicPr/>
                  </pic:nvPicPr>
                  <pic:blipFill>
                    <a:blip r:embed="rId11"/>
                    <a:stretch>
                      <a:fillRect/>
                    </a:stretch>
                  </pic:blipFill>
                  <pic:spPr>
                    <a:xfrm>
                      <a:off x="0" y="0"/>
                      <a:ext cx="5220000" cy="6250685"/>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 estudos por ano, média móvel centrada de três anos com intervalo de confiança de Poisson exato e produção acumulada, com 2026 em curso; (B) país; (C) sexo da amostra; (D) nível competitivo; (E) delineamento; (F) contexto da medida; percentuais sobre os 36 estudos.</w:t>
      </w:r>
    </w:p>
    <w:p>
      <w:pPr>
        <w:spacing w:before="0" w:after="160" w:line="240" w:lineRule="auto"/>
        <w:ind w:left="0" w:firstLine="0"/>
        <w:jc w:val="left"/>
      </w:pPr>
      <w:r>
        <w:rPr>
          <w:rFonts w:ascii="Times New Roman" w:hAnsi="Times New Roman"/>
          <w:i w:val="0"/>
          <w:sz w:val="20"/>
        </w:rPr>
        <w:t>Fonte: elaborada pelos autores (2026).</w:t>
      </w:r>
    </w:p>
    <w:p>
      <w:pPr>
        <w:keepNext/>
        <w:spacing w:before="120" w:after="60" w:line="240" w:lineRule="auto"/>
        <w:ind w:left="0" w:firstLine="0"/>
        <w:jc w:val="both"/>
      </w:pPr>
      <w:r>
        <w:rPr>
          <w:rFonts w:ascii="Times New Roman" w:hAnsi="Times New Roman"/>
          <w:b/>
          <w:sz w:val="20"/>
        </w:rPr>
        <w:t>Tabela 4</w:t>
      </w:r>
      <w:r>
        <w:rPr>
          <w:rFonts w:ascii="Times New Roman" w:hAnsi="Times New Roman"/>
          <w:i w:val="0"/>
          <w:sz w:val="20"/>
        </w:rPr>
        <w:t xml:space="preserve"> – Características dos estudos incluídos, em ordem cronológica</w:t>
      </w:r>
    </w:p>
    <w:tbl>
      <w:tblPr>
        <w:jc w:val="center"/>
        <w:tblLayout w:type="fixed"/>
        <w:tblLook w:firstColumn="1" w:firstRow="1" w:lastColumn="0" w:lastRow="0" w:noHBand="0" w:noVBand="1" w:val="04A0"/>
        <w:tblW w:w="9071" w:type="dxa"/>
        <w:tblLayout w:type="fixed"/>
      </w:tblPr>
      <w:tblGrid>
        <w:gridCol w:w="1530"/>
        <w:gridCol w:w="819"/>
        <w:gridCol w:w="1093"/>
        <w:gridCol w:w="1311"/>
        <w:gridCol w:w="1038"/>
        <w:gridCol w:w="1420"/>
        <w:gridCol w:w="929"/>
        <w:gridCol w:w="929"/>
      </w:tblGrid>
      <w:tr>
        <w:trPr>
          <w:tblHeader w:val="true"/>
        </w:trPr>
        <w:tc>
          <w:tcPr>
            <w:tcW w:w="153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Estudo</w:t>
            </w:r>
          </w:p>
        </w:tc>
        <w:tc>
          <w:tcPr>
            <w:tcW w:w="81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País</w:t>
            </w:r>
          </w:p>
        </w:tc>
        <w:tc>
          <w:tcPr>
            <w:tcW w:w="1093"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n; sexo; nível</w:t>
            </w:r>
          </w:p>
        </w:tc>
        <w:tc>
          <w:tcPr>
            <w:tcW w:w="1311"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Delineamento; contexto</w:t>
            </w:r>
          </w:p>
        </w:tc>
        <w:tc>
          <w:tcPr>
            <w:tcW w:w="1038"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Instrumento</w:t>
            </w:r>
          </w:p>
        </w:tc>
        <w:tc>
          <w:tcPr>
            <w:tcW w:w="142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Humor relacionado com</w:t>
            </w:r>
          </w:p>
        </w:tc>
        <w:tc>
          <w:tcPr>
            <w:tcW w:w="92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Direção</w:t>
            </w:r>
          </w:p>
        </w:tc>
        <w:tc>
          <w:tcPr>
            <w:tcW w:w="92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Qualidade (0 a 6)</w:t>
            </w:r>
          </w:p>
        </w:tc>
      </w:tr>
      <w:tr>
        <w:tc>
          <w:tcPr>
            <w:tcW w:w="1530" w:type="dxa"/>
            <w:tcBorders>
              <w:top w:val="nil"/>
              <w:left w:val="nil"/>
              <w:bottom w:val="nil"/>
              <w:right w:val="nil"/>
            </w:tcBorders>
          </w:tcPr>
          <w:p>
            <w:pPr>
              <w:spacing w:lineRule="exact" w:line="190" w:before="20" w:after="20"/>
              <w:jc w:val="left"/>
            </w:pPr>
            <w:r>
              <w:rPr>
                <w:rFonts w:ascii="Times New Roman" w:hAnsi="Times New Roman"/>
                <w:i w:val="0"/>
                <w:sz w:val="16"/>
              </w:rPr>
              <w:t>Farzanegi et al. ([2008?])</w:t>
            </w:r>
          </w:p>
        </w:tc>
        <w:tc>
          <w:tcPr>
            <w:tcW w:w="819" w:type="dxa"/>
            <w:tcBorders>
              <w:top w:val="nil"/>
              <w:left w:val="nil"/>
              <w:bottom w:val="nil"/>
              <w:right w:val="nil"/>
            </w:tcBorders>
          </w:tcPr>
          <w:p>
            <w:pPr>
              <w:spacing w:lineRule="exact" w:line="190" w:before="20" w:after="20"/>
              <w:jc w:val="left"/>
            </w:pPr>
            <w:r>
              <w:rPr>
                <w:rFonts w:ascii="Times New Roman" w:hAnsi="Times New Roman"/>
                <w:i w:val="0"/>
                <w:sz w:val="16"/>
              </w:rPr>
              <w:t>Irã</w:t>
            </w:r>
          </w:p>
        </w:tc>
        <w:tc>
          <w:tcPr>
            <w:tcW w:w="1093" w:type="dxa"/>
            <w:tcBorders>
              <w:top w:val="nil"/>
              <w:left w:val="nil"/>
              <w:bottom w:val="nil"/>
              <w:right w:val="nil"/>
            </w:tcBorders>
          </w:tcPr>
          <w:p>
            <w:pPr>
              <w:spacing w:lineRule="exact" w:line="190" w:before="20" w:after="20"/>
              <w:jc w:val="left"/>
            </w:pPr>
            <w:r>
              <w:rPr>
                <w:rFonts w:ascii="Times New Roman" w:hAnsi="Times New Roman"/>
                <w:i w:val="0"/>
                <w:sz w:val="16"/>
              </w:rPr>
              <w:t>n.r.; F; universitário</w:t>
            </w:r>
          </w:p>
        </w:tc>
        <w:tc>
          <w:tcPr>
            <w:tcW w:w="1311" w:type="dxa"/>
            <w:tcBorders>
              <w:top w:val="nil"/>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nil"/>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nil"/>
              <w:left w:val="nil"/>
              <w:bottom w:val="nil"/>
              <w:right w:val="nil"/>
            </w:tcBorders>
          </w:tcPr>
          <w:p>
            <w:pPr>
              <w:spacing w:lineRule="exact" w:line="190" w:before="20" w:after="20"/>
              <w:jc w:val="left"/>
            </w:pPr>
            <w:r>
              <w:rPr>
                <w:rFonts w:ascii="Times New Roman" w:hAnsi="Times New Roman"/>
                <w:i w:val="0"/>
                <w:sz w:val="16"/>
              </w:rPr>
              <w:t>competição e resultado do jogo; marcadores biológicos</w:t>
            </w:r>
          </w:p>
        </w:tc>
        <w:tc>
          <w:tcPr>
            <w:tcW w:w="929" w:type="dxa"/>
            <w:tcBorders>
              <w:top w:val="nil"/>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nil"/>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Bresciani et al.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Rocha, Lopes e Moraes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 misto;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 intervenção psicológica ou verbal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Schiavini e Arena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51; F; universitário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Descritivo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Al-Wattar e Al-Badrane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Iraque</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20;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Zurita Ortega et al.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48; F;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lesão e dor;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N.d.</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Montes e Gomes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Portugal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Pereira et al.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 F;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marcadores biológicos; carga e recuperação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Lagner et al. (2015)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Alemanha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61; M;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SAM (afeto)</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Buchheit (2015)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37;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Khazdozi, Bahari e Ashayeri (2017)</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Irã</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24; F;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Obregón Sibón et al. (2017)</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M;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 lesão e dor</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Assunção Carvalho et al.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25; M;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nutrição e suplementação; marcadores biológicos;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Durai e Athisayaraj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Índia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M; universitário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não relatado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comparação entre modalidades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Padilhas et al.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17;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Lisenchuk et al. (2019)</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Ucrânia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32;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Mon-López et al.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187; misto;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confinamento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Reigal et al.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181; misto;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Soto, García-Herrero e Carcedo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Chile</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39;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Nugraha, Wibowo e Firmansyah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Indonésia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40; misto;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(2021)</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confinamento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comparação entre modalidades;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García-Herrero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73;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Ghazel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F;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20; M;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Essid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 M;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horário do dia;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Lujic, Prskalo e Bratko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Croácia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407;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 comparação entre modalidades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Miralles-Amorós et al.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21;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nutrição e suplementação;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Ivanović e Ivanović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Sérvia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132;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Morenas-Aguilar et al.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8;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SAM (afeto)</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misto;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Akroush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Jordânia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76;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Aydi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M;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Diachenko e Tyshchenko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Ucrânia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(2026)</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Ratz-Sulyok et al. (2026a)</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Hungria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584; misto;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marcadores biológicos;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Bugten et al. (2026)</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Noruega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50;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Ratz-Sulyok et al. (2026b)</w:t>
            </w:r>
          </w:p>
        </w:tc>
        <w:tc>
          <w:tcPr>
            <w:tcW w:w="819"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Hungria</w:t>
            </w:r>
          </w:p>
        </w:tc>
        <w:tc>
          <w:tcPr>
            <w:tcW w:w="1093"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584; misto; elite</w:t>
            </w:r>
          </w:p>
        </w:tc>
        <w:tc>
          <w:tcPr>
            <w:tcW w:w="1311"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Transversal; laboratório</w:t>
            </w:r>
          </w:p>
        </w:tc>
        <w:tc>
          <w:tcPr>
            <w:tcW w:w="1038"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marcadores biológicos; variáveis psicológicas</w:t>
            </w:r>
          </w:p>
        </w:tc>
        <w:tc>
          <w:tcPr>
            <w:tcW w:w="929" w:type="dxa"/>
            <w:tcBorders>
              <w:top w:val="single" w:sz="4" w:color="000000"/>
              <w:left w:val="nil"/>
              <w:bottom w:val="single" w:sz="8" w:color="000000"/>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single" w:sz="8" w:color="000000"/>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bl>
    <w:p>
      <w:pPr>
        <w:spacing w:before="40" w:after="0" w:line="240" w:lineRule="auto"/>
        <w:ind w:left="0" w:firstLine="0"/>
        <w:jc w:val="both"/>
      </w:pPr>
      <w:r>
        <w:rPr>
          <w:rFonts w:ascii="Times New Roman" w:hAnsi="Times New Roman"/>
          <w:i w:val="0"/>
          <w:sz w:val="20"/>
        </w:rPr>
        <w:t>Nota: F: feminino; M: masculino; n.r.: não relatado; Efeito: efeito ou associação relatado; N.d.: não determinável; POMS: Profile of Mood States; BRUMS: Brunel Mood Scale; PANAS: Positive and Negative Affect Schedule; SAM: Self-Assessment Manikin; SAN: questionário de bem-estar, atividade e humor. Os relatórios (BATALLA-GAVALDA et al., 2025, 2026) descrevem a mesma amostra, assim como os relatórios (RATZ-SULYOK et al., 2026a, 2026b).</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3.3 Instrumentos, dimensões e momento da medida (QP2)</w:t>
      </w:r>
    </w:p>
    <w:p>
      <w:pPr>
        <w:spacing w:before="0" w:after="0" w:line="360" w:lineRule="auto"/>
        <w:ind w:left="0" w:firstLine="709"/>
        <w:jc w:val="both"/>
      </w:pPr>
      <w:r>
        <w:rPr>
          <w:rFonts w:ascii="Times New Roman" w:hAnsi="Times New Roman"/>
          <w:i w:val="0"/>
          <w:sz w:val="24"/>
        </w:rPr>
        <w:t>O Profile of Mood States (POMS) e suas versões, com 30, 36, 48, 58 ou 65 itens, foram empregados em 18 estudos (50,0%); a Brunel Mood Scale, em três (AL-WATTAR; AL-BADRANE, 2014; AYDI et al., 2025; SAHLI et al., 2024); a escala de afeto positivo e negativo (PANAS), em quatro (GARCÍA-HERRERO et al., 2022; IVANOVIĆ; IVANOVIĆ, 2023; LUJIC; PRSKALO; BRATKO, 2023; SOTO; GARCÍA-HERRERO; CARCEDO, 2020); a Feeling Scale, em três (BUGTEN et al., 2026; ROCHA; LOPES; MORAES, 2010; SAHLI et al., 2022); e a subescala afetiva do Self-Assessment Manikin, em dois (LAGNER et al., 2015; MORENAS-AGUILAR et al., 2023). Seis estudos usaram escalas menos difundidas: listas de adjetivos de estados de ânimo (SCHIAVINI; ARENA, 2010), a Brief Mood Introspection Scale (NUGRAHA; WIBOWO; FIRMANSYAH, 2020), o método EMPA (LISENCHUK et al., 2019), o questionário SAN, de bem-estar, atividade e humor (DIACHENKO; TYSHCHENKO, 2025), uma lista de padrões de humor próxima do temperamento (AKROUSH et al., 2025) e um questionário de humor de validade incerta (KHAZDOZI; BAHARI; ASHAYERI, 2017) (Figura 3A). Em parte dos estudos com o POMS, apenas algumas dimensões foram relatadas, como a tensão ou a fadiga (MONTES; GOMES, 2014; PADILHAS et al., 2018); em outro, o escore total entrou em um modelo conjunto sem relato do efeito do humor (ZURITA ORTEGA et al., 2014). O momento da medida foi declarado com precisão em 27 estudos e ficou incerto ou ausente nos demais, o que limita a interpretação dos escores.</w:t>
      </w:r>
    </w:p>
    <w:p>
      <w:pPr>
        <w:keepNext/>
        <w:spacing w:before="120" w:after="60" w:line="240" w:lineRule="auto"/>
        <w:ind w:left="0" w:firstLine="0"/>
        <w:jc w:val="both"/>
      </w:pPr>
      <w:r>
        <w:rPr>
          <w:rFonts w:ascii="Times New Roman" w:hAnsi="Times New Roman"/>
          <w:b/>
          <w:sz w:val="20"/>
        </w:rPr>
        <w:t>Figura 3</w:t>
      </w:r>
      <w:r>
        <w:rPr>
          <w:rFonts w:ascii="Times New Roman" w:hAnsi="Times New Roman"/>
          <w:i w:val="0"/>
          <w:sz w:val="20"/>
        </w:rPr>
        <w:t xml:space="preserve"> – Instrumentos, variáveis relacionadas ao humor e direção dos achados (QP2 a QP4)</w:t>
      </w:r>
    </w:p>
    <w:p>
      <w:pPr>
        <w:keepNext/>
        <w:spacing w:before="0" w:after="0" w:line="240" w:lineRule="auto"/>
        <w:ind w:left="0" w:firstLine="0"/>
        <w:jc w:val="center"/>
      </w:pPr>
      <w:r>
        <w:drawing>
          <wp:inline xmlns:a="http://schemas.openxmlformats.org/drawingml/2006/main" xmlns:pic="http://schemas.openxmlformats.org/drawingml/2006/picture">
            <wp:extent cx="4860000" cy="5207401"/>
            <wp:docPr id="3" name="Picture 3"/>
            <wp:cNvGraphicFramePr>
              <a:graphicFrameLocks noChangeAspect="1"/>
            </wp:cNvGraphicFramePr>
            <a:graphic>
              <a:graphicData uri="http://schemas.openxmlformats.org/drawingml/2006/picture">
                <pic:pic>
                  <pic:nvPicPr>
                    <pic:cNvPr id="0" name="Figura3_Instrumentos_Relacoes_RS.png"/>
                    <pic:cNvPicPr/>
                  </pic:nvPicPr>
                  <pic:blipFill>
                    <a:blip r:embed="rId12"/>
                    <a:stretch>
                      <a:fillRect/>
                    </a:stretch>
                  </pic:blipFill>
                  <pic:spPr>
                    <a:xfrm>
                      <a:off x="0" y="0"/>
                      <a:ext cx="4860000" cy="5207401"/>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 família de instrumento; (B) direção do achado por família de instrumento; (C) gráfico de direção do efeito por variável relacionada ao humor, conforme a diretriz SWiM; um estudo pode relacionar o humor a mais de uma variável.</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3.4 Variáveis relacionadas ao humor e resultados (QP3)</w:t>
      </w:r>
    </w:p>
    <w:p>
      <w:pPr>
        <w:spacing w:before="0" w:after="0" w:line="360" w:lineRule="auto"/>
        <w:ind w:left="0" w:firstLine="709"/>
        <w:jc w:val="both"/>
      </w:pPr>
      <w:r>
        <w:rPr>
          <w:rFonts w:ascii="Times New Roman" w:hAnsi="Times New Roman"/>
          <w:i w:val="0"/>
          <w:sz w:val="24"/>
        </w:rPr>
        <w:t>O humor relacionou-se a variáveis psicológicas em 13 estudos, a intervenções verbais ou psicológicas em 9, à carga e à recuperação em 9, a marcadores biológicos em 7, e à competição e ao resultado do jogo, ao desempenho físico e ao desempenho técnico em 6 cada (Figura 3C). Entre os 36 estudos, 19 relataram efeito ou associação, 10 resultados mistos e cinco ausência de efeito; um foi apenas descritivo, e em outro a direção não pôde ser determinada. A Tabela 5 sintetiza os achados por grupo de variáveis.</w:t>
      </w:r>
    </w:p>
    <w:p>
      <w:pPr>
        <w:spacing w:before="0" w:after="0" w:line="360" w:lineRule="auto"/>
        <w:ind w:left="0" w:firstLine="709"/>
        <w:jc w:val="both"/>
      </w:pPr>
      <w:r>
        <w:rPr>
          <w:rFonts w:ascii="Times New Roman" w:hAnsi="Times New Roman"/>
          <w:b/>
          <w:sz w:val="24"/>
        </w:rPr>
        <w:t>Competição e resultado do jogo.</w:t>
      </w:r>
      <w:r>
        <w:rPr>
          <w:rFonts w:ascii="Times New Roman" w:hAnsi="Times New Roman"/>
          <w:i w:val="0"/>
          <w:sz w:val="24"/>
        </w:rPr>
        <w:t xml:space="preserve"> A vitória em jogo oficial associou-se a humor mais positivo que o registrado após o treino, e o humor explicou as diferenças de memória observadas depois do jogo (LAGNER et al., 2015). Equipes universitárias com estados de ânimo mais positivos antes da semifinal venceram as partidas (SCHIAVINI; ARENA, 2010). O escore do POMS e o cortisol salivar aumentaram na competição, com variação dependente do resultado (FARZANEGI et al., [2008?]). Em jogadoras amadoras, o jogo oficial produziu perfil de humor menos perturbado que o teste intermitente Yo-Yo IR1, com menor depressão e fadiga, e diferiu apenas de modo trivial do teste baseado no jogo (BATALLA-GAVALDA et al., 2025, 2026). Após partidas oficiais, a fadiga e o vigor de 12 jogadores variaram, sem alteração da tensão, e essas dimensões correlacionaram-se com o limiar de dor à pressão da musculatura do ombro (OBREGÓN SIBÓN et al., 2017).</w:t>
      </w:r>
    </w:p>
    <w:p>
      <w:pPr>
        <w:spacing w:before="0" w:after="0" w:line="360" w:lineRule="auto"/>
        <w:ind w:left="0" w:firstLine="709"/>
        <w:jc w:val="both"/>
      </w:pPr>
      <w:r>
        <w:rPr>
          <w:rFonts w:ascii="Times New Roman" w:hAnsi="Times New Roman"/>
          <w:b/>
          <w:sz w:val="24"/>
        </w:rPr>
        <w:t>Carga, recuperação e marcadores biológicos.</w:t>
      </w:r>
      <w:r>
        <w:rPr>
          <w:rFonts w:ascii="Times New Roman" w:hAnsi="Times New Roman"/>
          <w:i w:val="0"/>
          <w:sz w:val="24"/>
        </w:rPr>
        <w:t xml:space="preserve"> Ao longo de uma temporada de 40 semanas, a perturbação total do humor permaneceu estável, embora a raiva e o vigor tenham variado em momentos específicos (BRESCIANI et al., 2010). Na seleção brasileira de handebol de praia, a fadiga do POMS aumentou durante a intertemporada sem alteração da perturbação total (PADILHAS et al., 2018); em uma equipe portuguesa, a tensão foi maior no início da temporada (MONTES; GOMES, 2014). A valência afetiva durante a corrida modificou-se com a manipulação da informação sobre a duração do esforço (ROCHA; LOPES; MORAES, 2010). Em 584 atletas húngaros, a perturbação total do humor diminuiu com a idade e não se associou aos hormônios salivares nos modelos ajustados (RATZ-SULYOK et al., 2026a, 2026b). Em jovens jogadores de alto nível, as medidas mensais do POMS mostraram baixa sensibilidade a mudanças do desempenho físico ao longo da temporada (BUCHHEIT, 2015). Em jogadoras adolescentes acompanhadas em 11 a 12 sessões, o prazer antes do treino associou-se à carga física medida por acelerometria, e esta, ao prazer após o treino (BUGTEN et al., 2026). Em sete jogadoras escolares avaliadas com marcadores de dano muscular e de atividade autonômica, a perturbação total do humor não diferiu do valor de referência do instrumento (PEREIRA et al., 2014).</w:t>
      </w:r>
    </w:p>
    <w:p>
      <w:pPr>
        <w:spacing w:before="0" w:after="0" w:line="360" w:lineRule="auto"/>
        <w:ind w:left="0" w:firstLine="709"/>
        <w:jc w:val="both"/>
      </w:pPr>
      <w:r>
        <w:rPr>
          <w:rFonts w:ascii="Times New Roman" w:hAnsi="Times New Roman"/>
          <w:b/>
          <w:sz w:val="24"/>
        </w:rPr>
        <w:t>Variáveis psicológicas, lesão e contexto.</w:t>
      </w:r>
      <w:r>
        <w:rPr>
          <w:rFonts w:ascii="Times New Roman" w:hAnsi="Times New Roman"/>
          <w:i w:val="0"/>
          <w:sz w:val="24"/>
        </w:rPr>
        <w:t xml:space="preserve"> No handebol de praia, as habilidades psicológicas e a autoconfiança predisseram as dimensões negativas do humor e o vigor (REIGAL et al., 2020). Durante o confinamento, as mulheres relataram mais depressão e fadiga, e as dimensões do humor predisseram o volume de treino e a qualidade do sono (MON-LÓPEZ et al., 2020). No mesmo contexto, jogadoras jovens de handebol apresentaram perturbação total do humor maior que a de atletas do atletismo, com mais depressão, confusão e raiva (BATALLA-GAVALDA et al., 2021). Adolescentes praticantes relataram mais afeto positivo e menos afeto negativo que os inativos (LUJIC; PRSKALO; BRATKO, 2023), e, em 132 jogadores juniores, a solidão e a saúde autoavaliada predisseram o afeto positivo e o negativo (IVANOVIĆ; IVANOVIĆ, 2023). Em escolares, o humor agradável antes de um jogo de invasão baseado no handebol correlacionou-se com o desempenho e com o envolvimento no jogo (NUGRAHA; WIBOWO; FIRMANSYAH, 2020). Jogadores de elite apresentaram mais estados negativos pela manhã e mais vigor à noite (ESSID et al., 2022). Em jogadoras, o humor variou conforme a fase do ciclo menstrual, com escores menores nas fases menstrual, ovulatória e pré-menstrual (GHAZEL et al., 2022; LISENCHUK et al., 2019); em oito jogadoras amadoras, contudo, a valência afetiva não diferiu entre as fases (MORENAS-AGUILAR et al., 2023). Um estudo incluiu o humor em um modelo de predição de lesões, sem relato do seu efeito isolado (ZURITA ORTEGA et al., 2014).</w:t>
      </w:r>
    </w:p>
    <w:p>
      <w:pPr>
        <w:keepNext/>
        <w:spacing w:before="120" w:after="60" w:line="240" w:lineRule="auto"/>
        <w:ind w:left="0" w:firstLine="0"/>
        <w:jc w:val="both"/>
      </w:pPr>
      <w:r>
        <w:rPr>
          <w:rFonts w:ascii="Times New Roman" w:hAnsi="Times New Roman"/>
          <w:b/>
          <w:sz w:val="20"/>
        </w:rPr>
        <w:t>Tabela 5</w:t>
      </w:r>
      <w:r>
        <w:rPr>
          <w:rFonts w:ascii="Times New Roman" w:hAnsi="Times New Roman"/>
          <w:i w:val="0"/>
          <w:sz w:val="20"/>
        </w:rPr>
        <w:t xml:space="preserve"> – Síntese estruturada dos achados por grupo de variáveis (diretriz SWiM)</w:t>
      </w:r>
    </w:p>
    <w:tbl>
      <w:tblPr>
        <w:jc w:val="center"/>
        <w:tblLayout w:type="fixed"/>
        <w:tblLook w:firstColumn="1" w:firstRow="1" w:lastColumn="0" w:lastRow="0" w:noHBand="0" w:noVBand="1" w:val="04A0"/>
        <w:tblW w:w="9072" w:type="dxa"/>
        <w:tblLayout w:type="fixed"/>
      </w:tblPr>
      <w:tblGrid>
        <w:gridCol w:w="1814"/>
        <w:gridCol w:w="3061"/>
        <w:gridCol w:w="3061"/>
        <w:gridCol w:w="1134"/>
      </w:tblGrid>
      <w:tr>
        <w:trPr>
          <w:tblHeader w:val="true"/>
        </w:trPr>
        <w:tc>
          <w:tcPr>
            <w:tcW w:w="1814"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Grupo de variáveis</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Estudos</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Principais achados</w:t>
            </w:r>
          </w:p>
        </w:tc>
        <w:tc>
          <w:tcPr>
            <w:tcW w:w="1134"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Efeito / misto / outros</w:t>
            </w:r>
          </w:p>
        </w:tc>
      </w:tr>
      <w:tr>
        <w:tc>
          <w:tcPr>
            <w:tcW w:w="1814" w:type="dxa"/>
            <w:tcBorders>
              <w:top w:val="nil"/>
              <w:left w:val="nil"/>
              <w:bottom w:val="nil"/>
              <w:right w:val="nil"/>
            </w:tcBorders>
          </w:tcPr>
          <w:p>
            <w:pPr>
              <w:spacing w:lineRule="exact" w:line="200" w:before="20" w:after="20"/>
              <w:jc w:val="left"/>
            </w:pPr>
            <w:r>
              <w:rPr>
                <w:rFonts w:ascii="Times New Roman" w:hAnsi="Times New Roman"/>
                <w:i w:val="0"/>
                <w:sz w:val="17"/>
              </w:rPr>
              <w:t>Competição e resultado do jogo</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BATALLA-GAVALDA et al., 2025, 2026; FARZANEGI et al., [2008?]; LAGNER et al., 2015; OBREGÓN SIBÓN et al., 2017; REIGAL et al., 2020; SCHIAVINI; ARENA, 2010</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Vitória associada a humor mais positivo; jogo oficial com perfil menos perturbado que testes máximos; fadiga e vigor alterados após o jogo</w:t>
            </w:r>
          </w:p>
        </w:tc>
        <w:tc>
          <w:tcPr>
            <w:tcW w:w="1134" w:type="dxa"/>
            <w:tcBorders>
              <w:top w:val="nil"/>
              <w:left w:val="nil"/>
              <w:bottom w:val="nil"/>
              <w:right w:val="nil"/>
            </w:tcBorders>
          </w:tcPr>
          <w:p>
            <w:pPr>
              <w:spacing w:lineRule="exact" w:line="200" w:before="20" w:after="20"/>
              <w:jc w:val="center"/>
            </w:pPr>
            <w:r>
              <w:rPr>
                <w:rFonts w:ascii="Times New Roman" w:hAnsi="Times New Roman"/>
                <w:i w:val="0"/>
                <w:sz w:val="17"/>
              </w:rPr>
              <w:t>3 / 2 / 1</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Carga, recuperação e marcadores biológicos</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BRESCIANI et al., 2010; BUCHHEIT, 2015; BUGTEN et al., 2026; MONTES; GOMES, 2014; PADILHAS et al., 2018; PEREIRA et al., 2014; RATZ-SULYOK et al., 2026a, 2026b; ROCHA; LOPES; MORAES, 2010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Variação de dimensões isoladas com a carga; prazer associado à carga física; baixa sensibilidade do POMS mensal ao desempenho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2 / 5 / 2</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Variáveis psicológicas e contexto</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AKROUSH et al., 2025; BATALLA-GAVALDA et al., 2021; IVANOVIĆ; IVANOVIĆ, 2023; KHAZDOZI; BAHARI; ASHAYERI, 2017; LUJIC; PRSKALO; BRATKO, 2023; MIRALLES-AMORÓS et al., 2023; MON-LÓPEZ et al., 2020; NUGRAHA; WIBOWO; FIRMANSYAH, 2020; RATZ-SULYOK et al., 2026a, 2026b; REIGAL et al., 2020; ZURITA ORTEGA et al., 2014</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Habilidades psicológicas, autoconfiança e prática regular associadas a humor mais favorável; solidão e confinamento associados a afeto negativo; humor agradável associado ao desempenho em jogo escolar</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6 / 3 / 2</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Intervenções verbais e psicológicas</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AYDI et al., 2025; DIACHENKO; TYSHCHENKO, 2025; GARCÍA-HERRERO et al., 2022; KHAZDOZI; BAHARI; ASHAYERI, 2017; ROCHA; LOPES; MORAES, 2010; SAHLI et al., 2022, 2024; SOTO; GARCÍA-HERRERO; CARCEDO, 2020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Encorajamento verbal, individual ou combinado com instrução, melhorou o humor; feedback negativo reduziu o afeto positivo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7 / 1 / 1</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Nutrição e suplementação</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Efeitos pequenos e inconsistentes entre grupos</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0 / 2 / 0</w:t>
            </w:r>
          </w:p>
        </w:tc>
      </w:tr>
      <w:tr>
        <w:tc>
          <w:tcPr>
            <w:tcW w:w="1814"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Ciclo menstrual e horário do dia</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ESSID et al., 2022; GHAZEL et al., 2022; LISENCHUK et al., 2019; MORENAS-AGUILAR et al., 2023</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Humor mais negativo nas fases menstrual e pré-menstrual e pela manhã; valência afetiva sem diferença entre as fases em um estudo</w:t>
            </w:r>
          </w:p>
        </w:tc>
        <w:tc>
          <w:tcPr>
            <w:tcW w:w="1134" w:type="dxa"/>
            <w:tcBorders>
              <w:top w:val="single" w:sz="4" w:color="000000"/>
              <w:left w:val="nil"/>
              <w:bottom w:val="single" w:sz="8" w:color="000000"/>
              <w:right w:val="nil"/>
            </w:tcBorders>
          </w:tcPr>
          <w:p>
            <w:pPr>
              <w:spacing w:lineRule="exact" w:line="200" w:before="20" w:after="20"/>
              <w:jc w:val="center"/>
            </w:pPr>
            <w:r>
              <w:rPr>
                <w:rFonts w:ascii="Times New Roman" w:hAnsi="Times New Roman"/>
                <w:i w:val="0"/>
                <w:sz w:val="17"/>
              </w:rPr>
              <w:t>3 / 0 / 1</w:t>
            </w:r>
          </w:p>
        </w:tc>
      </w:tr>
    </w:tbl>
    <w:p>
      <w:pPr>
        <w:spacing w:before="40" w:after="0" w:line="240" w:lineRule="auto"/>
        <w:ind w:left="0" w:firstLine="0"/>
        <w:jc w:val="both"/>
      </w:pPr>
      <w:r>
        <w:rPr>
          <w:rFonts w:ascii="Times New Roman" w:hAnsi="Times New Roman"/>
          <w:i w:val="0"/>
          <w:sz w:val="20"/>
        </w:rPr>
        <w:t>Nota: outros: sem efeito, descritivo ou não determinável; um estudo pode compor mais de um grupo.</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3.5 Intervenções sobre o humor (QP4)</w:t>
      </w:r>
    </w:p>
    <w:p>
      <w:pPr>
        <w:spacing w:before="0" w:after="0" w:line="360" w:lineRule="auto"/>
        <w:ind w:left="0" w:firstLine="709"/>
        <w:jc w:val="both"/>
      </w:pPr>
      <w:r>
        <w:rPr>
          <w:rFonts w:ascii="Times New Roman" w:hAnsi="Times New Roman"/>
          <w:i w:val="0"/>
          <w:sz w:val="24"/>
        </w:rPr>
        <w:t>Além do estudo sobre a informação acerca da duração do esforço (ROCHA; LOPES; MORAES, 2010), onze manipularam uma condição e mediram o humor como desfecho. Em escolares com sobrepeso, o encorajamento verbal individual do professor reduziu a depressão e a fadiga e elevou o vigor, com tamanhos de efeito grandes, em comparação com o encorajamento coletivo (SAHLI et al., 2024). Combinado com instrução técnica, o encorajamento verbal manteve a valência afetiva positiva durante jogos reduzidos (SAHLI et al., 2022). Em escolares obesos, o encorajamento verbal durante jogos de passes com regras do handebol aumentou o vigor e reduziu a variação da perturbação total do humor em comparação com o jogo sem encorajamento (AYDI et al., 2025). O feedback negativo reduziu o afeto positivo de jogadoras das seleções chilenas (SOTO; GARCÍA-HERRERO; CARCEDO, 2020), ao passo que o feedback comparativo não alterou o afeto de jogadoras da primeira divisão espanhola (GARCÍA-HERRERO et al., 2022). Um programa de autorregulação do humor (AL-WATTAR; AL-BADRANE, 2014) e o aquecimento com música (KHAZDOZI; BAHARI; ASHAYERI, 2017) relataram melhora do humor, mas descreveram o protocolo de modo insuficiente, tal como um programa de regulação psicoemocional com 28 jogadoras, cuja melhora de até 38% no bem-estar, na atividade e no humor consta apenas do resumo (DIACHENKO; TYSHCHENKO, 2025). A suplementação com néctar de jamelão melhorou a perturbação total do humor apenas na comparação intragrupo (ASSUNÇÃO CARVALHO et al., 2018), e planos alimentares personalizados não diferiram entre si em nenhuma dimensão do POMS (MIRALLES-AMORÓS et al., 2023). No estudo que aplicou música em diferentes fases do ciclo menstrual, o humor variou com a fase, e não com a música (GHAZEL et al., 2022).</w:t>
      </w:r>
    </w:p>
    <w:p>
      <w:pPr>
        <w:keepNext/>
        <w:spacing w:before="240" w:after="120" w:line="360" w:lineRule="auto"/>
        <w:ind w:left="0" w:firstLine="0"/>
        <w:jc w:val="left"/>
      </w:pPr>
      <w:r>
        <w:rPr>
          <w:rFonts w:ascii="Times New Roman" w:hAnsi="Times New Roman"/>
          <w:b/>
          <w:sz w:val="24"/>
        </w:rPr>
        <w:t>3.6 Qualidade metodológica (QP5)</w:t>
      </w:r>
    </w:p>
    <w:p>
      <w:pPr>
        <w:spacing w:before="0" w:after="0" w:line="360" w:lineRule="auto"/>
        <w:ind w:left="0" w:firstLine="709"/>
        <w:jc w:val="both"/>
      </w:pPr>
      <w:r>
        <w:rPr>
          <w:rFonts w:ascii="Times New Roman" w:hAnsi="Times New Roman"/>
          <w:i w:val="0"/>
          <w:sz w:val="24"/>
        </w:rPr>
        <w:t>A qualidade metodológica foi alta em 18 estudos, moderada em 14 e baixa em 4 (Figura 4). Todos os estudos definiram o objetivo e a população, mas a amostra foi descrita integralmente em 23, o instrumento foi nomeado e validado em 31, o momento da medida foi declarado em 27, houve comparador, controle ou ajuste de confusão em 21, e a análise estatística foi adequada, com medidas de variabilidade, em 19. As maiores pontuações concentraram-se nos ensaios randomizados e nos estudos cruzados recentes; as menores, nos estudos extraídos apenas do resumo ou publicados em periódicos de circulação regional.</w:t>
      </w:r>
    </w:p>
    <w:p>
      <w:pPr>
        <w:keepNext/>
        <w:spacing w:before="120" w:after="60" w:line="240" w:lineRule="auto"/>
        <w:ind w:left="0" w:firstLine="0"/>
        <w:jc w:val="both"/>
      </w:pPr>
      <w:r>
        <w:rPr>
          <w:rFonts w:ascii="Times New Roman" w:hAnsi="Times New Roman"/>
          <w:b/>
          <w:sz w:val="20"/>
        </w:rPr>
        <w:t>Figura 4</w:t>
      </w:r>
      <w:r>
        <w:rPr>
          <w:rFonts w:ascii="Times New Roman" w:hAnsi="Times New Roman"/>
          <w:i w:val="0"/>
          <w:sz w:val="20"/>
        </w:rPr>
        <w:t xml:space="preserve"> – Avaliação da qualidade metodológica dos estudos incluídos (QP5)</w:t>
      </w:r>
    </w:p>
    <w:p>
      <w:pPr>
        <w:keepNext/>
        <w:spacing w:before="0" w:after="0" w:line="240" w:lineRule="auto"/>
        <w:ind w:left="0" w:firstLine="0"/>
        <w:jc w:val="center"/>
      </w:pPr>
      <w:r>
        <w:drawing>
          <wp:inline xmlns:a="http://schemas.openxmlformats.org/drawingml/2006/main" xmlns:pic="http://schemas.openxmlformats.org/drawingml/2006/picture">
            <wp:extent cx="4860000" cy="7104613"/>
            <wp:docPr id="4" name="Picture 4"/>
            <wp:cNvGraphicFramePr>
              <a:graphicFrameLocks noChangeAspect="1"/>
            </wp:cNvGraphicFramePr>
            <a:graphic>
              <a:graphicData uri="http://schemas.openxmlformats.org/drawingml/2006/picture">
                <pic:pic>
                  <pic:nvPicPr>
                    <pic:cNvPr id="0" name="Figura4_Qualidade_RS.png"/>
                    <pic:cNvPicPr/>
                  </pic:nvPicPr>
                  <pic:blipFill>
                    <a:blip r:embed="rId13"/>
                    <a:stretch>
                      <a:fillRect/>
                    </a:stretch>
                  </pic:blipFill>
                  <pic:spPr>
                    <a:xfrm>
                      <a:off x="0" y="0"/>
                      <a:ext cx="4860000" cy="7104613"/>
                    </a:xfrm>
                    <a:prstGeom prst="rect"/>
                  </pic:spPr>
                </pic:pic>
              </a:graphicData>
            </a:graphic>
          </wp:inline>
        </w:drawing>
      </w:r>
    </w:p>
    <w:p>
      <w:pPr>
        <w:spacing w:before="40" w:after="0" w:line="240" w:lineRule="auto"/>
        <w:ind w:left="0" w:firstLine="0"/>
        <w:jc w:val="both"/>
      </w:pPr>
      <w:r>
        <w:rPr>
          <w:rFonts w:ascii="Times New Roman" w:hAnsi="Times New Roman"/>
          <w:i w:val="0"/>
          <w:sz w:val="20"/>
        </w:rPr>
        <w:t>Nota: Q1 a Q6: itens adaptados para estudos observacionais e transversais; sim (+), incerto (?) e não (−); pontuação de 5 a 6, qualidade alta; de 3 a 4, moderada; de 0 a 2, baixa.</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240" w:line="360" w:lineRule="auto"/>
        <w:ind w:left="0" w:firstLine="0"/>
        <w:jc w:val="left"/>
      </w:pPr>
      <w:r>
        <w:rPr>
          <w:rFonts w:ascii="Times New Roman" w:hAnsi="Times New Roman"/>
          <w:b/>
          <w:sz w:val="24"/>
        </w:rPr>
        <w:t>4 DISCUSSÃO</w:t>
      </w:r>
    </w:p>
    <w:p>
      <w:pPr>
        <w:spacing w:before="0" w:after="0" w:line="360" w:lineRule="auto"/>
        <w:ind w:left="0" w:firstLine="709"/>
        <w:jc w:val="both"/>
      </w:pPr>
      <w:r>
        <w:rPr>
          <w:rFonts w:ascii="Times New Roman" w:hAnsi="Times New Roman"/>
          <w:i w:val="0"/>
          <w:sz w:val="24"/>
        </w:rPr>
        <w:t>Esta revisão sistemática sintetizou as evidências sobre os estados de humor em atletas de handebol. Até onde se sabe, trata-se da primeira revisão a reunir essa produção com critérios explícitos e avaliação da qualidade metodológica. Os 36 estudos incluídos permitiram responder às cinco questões de pesquisa, discutidas a seguir. Três constatações atravessam a discussão: o humor responde à carga, ao contexto competitivo e à interação com treinadores e colegas; o campo depende de um instrumento dominante, aplicado em momentos pouco declarados; e a evidência é escassa e raramente experimental.</w:t>
      </w:r>
    </w:p>
    <w:p>
      <w:pPr>
        <w:keepNext/>
        <w:spacing w:before="240" w:after="120" w:line="360" w:lineRule="auto"/>
        <w:ind w:left="0" w:firstLine="0"/>
        <w:jc w:val="left"/>
      </w:pPr>
      <w:r>
        <w:rPr>
          <w:rFonts w:ascii="Times New Roman" w:hAnsi="Times New Roman"/>
          <w:b/>
          <w:sz w:val="24"/>
        </w:rPr>
        <w:t>4.1 Características dos estudos e das populações</w:t>
      </w:r>
    </w:p>
    <w:p>
      <w:pPr>
        <w:spacing w:before="0" w:after="0" w:line="360" w:lineRule="auto"/>
        <w:ind w:left="0" w:firstLine="709"/>
        <w:jc w:val="both"/>
      </w:pPr>
      <w:r>
        <w:rPr>
          <w:rFonts w:ascii="Times New Roman" w:hAnsi="Times New Roman"/>
          <w:i w:val="0"/>
          <w:sz w:val="24"/>
        </w:rPr>
        <w:t>A produção sobre o tema é recente e reduzida, com menos de dois estudos por ano. O predomínio de amostras femininas contrasta com o desequilíbrio usual das ciências do esporte e reproduz o padrão da revisão de mapeamento paralela, mas convive com amostras pequenas, com mediana de 25 participantes, e com a omissão do sexo em parte dos estudos. Como o humor varia com a fase do ciclo menstrual (GHAZEL et al., 2022; LISENCHUK et al., 2019), ainda que um estudo com oito jogadoras não tenha detectado diferença (MORENAS-AGUILAR et al., 2023), a amostra mista sem separação por sexo impede justamente a comparação de interesse. A concentração na Espanha, na Tunísia e no Brasil, somada a estudos do Irã, do Iraque e da Jordânia, revela um campo internacional, porém apoiado em versões traduzidas dos instrumentos, cuja equivalência transcultural nem sempre foi verificada (HAN; PARSONS-SMITH; TERRY, 2020; TERRY et al., 2022).</w:t>
      </w:r>
    </w:p>
    <w:p>
      <w:pPr>
        <w:keepNext/>
        <w:spacing w:before="240" w:after="120" w:line="360" w:lineRule="auto"/>
        <w:ind w:left="0" w:firstLine="0"/>
        <w:jc w:val="left"/>
      </w:pPr>
      <w:r>
        <w:rPr>
          <w:rFonts w:ascii="Times New Roman" w:hAnsi="Times New Roman"/>
          <w:b/>
          <w:sz w:val="24"/>
        </w:rPr>
        <w:t>4.2 Instrumentos e momento da medida</w:t>
      </w:r>
    </w:p>
    <w:p>
      <w:pPr>
        <w:spacing w:before="0" w:after="0" w:line="360" w:lineRule="auto"/>
        <w:ind w:left="0" w:firstLine="709"/>
        <w:jc w:val="both"/>
      </w:pPr>
      <w:r>
        <w:rPr>
          <w:rFonts w:ascii="Times New Roman" w:hAnsi="Times New Roman"/>
          <w:i w:val="0"/>
          <w:sz w:val="24"/>
        </w:rPr>
        <w:t>O POMS respondeu por mais da metade dos estudos, em versões de 30 a 65 itens, o que dificulta a comparação direta dos escores. Sua versão abreviada, a Brunel Mood Scale, foi concebida para a aplicação repetida no treinamento (ROHLFS et al., 2008; TERRY; LANE; FOGARTY, 2003), mas apareceu em apenas três estudos. As escalas de afeto, como o PANAS e a Feeling Scale, medem outro construto, a valência afetiva geral ou momentânea (EKKEKAKIS; BRAND, 2019; HARDY; REJESKI, 1989; WATSON; CLARK; TELLEGEN, 1988), e não devem ser somadas ao perfil de humor. O ponto mais crítico é o momento da medida. Um mesmo escore de vigor tem significados distintos antes de um jogo decisivo, após uma sessão de carga elevada ou em um dia de descanso, e a ausência dessa informação em parte dos estudos limita a leitura do conjunto (BEEDIE; TERRY; LANE, 2000; LOCHBAUM et al., 2021).</w:t>
      </w:r>
    </w:p>
    <w:p>
      <w:pPr>
        <w:keepNext/>
        <w:spacing w:before="240" w:after="120" w:line="360" w:lineRule="auto"/>
        <w:ind w:left="0" w:firstLine="0"/>
        <w:jc w:val="left"/>
      </w:pPr>
      <w:r>
        <w:rPr>
          <w:rFonts w:ascii="Times New Roman" w:hAnsi="Times New Roman"/>
          <w:b/>
          <w:sz w:val="24"/>
        </w:rPr>
        <w:t>4.3 Humor, carga e desempenho</w:t>
      </w:r>
    </w:p>
    <w:p>
      <w:pPr>
        <w:spacing w:before="0" w:after="0" w:line="360" w:lineRule="auto"/>
        <w:ind w:left="0" w:firstLine="709"/>
        <w:jc w:val="both"/>
      </w:pPr>
      <w:r>
        <w:rPr>
          <w:rFonts w:ascii="Times New Roman" w:hAnsi="Times New Roman"/>
          <w:i w:val="0"/>
          <w:sz w:val="24"/>
        </w:rPr>
        <w:t>Os estudos de temporada mostraram variações de dimensões isoladas, como a fadiga, a raiva, o vigor e a tensão, sem alteração da perturbação total do humor (BRESCIANI et al., 2010; MONTES; GOMES, 2014; PADILHAS et al., 2018). Esse padrão é coerente com o uso clássico do perfil de humor no monitoramento da carga (MORGAN et al., 1987; RAGLIN, 2001) e com a superioridade das medidas autorrelatadas na detecção de respostas ao treinamento (KELLMANN et al., 2018; SAW; MAIN; GASTIN, 2016). Sugere, ainda, que o escore total pode ocultar mudanças relevantes em dimensões específicas, razão pela qual a leitura do perfil tem sido preferida à da soma (LANE; TERRY, 2000; PARSONS-SMITH; TERRY; MACHIN, 2017). A relação com o desempenho físico foi pouco explorada, e a ausência de correlação entre a variação da condição física e o humor (MONTES; GOMES, 2014) não permite conclusões, dado o tamanho das amostras. O acompanhamento mensal de 37 jovens jogadores reforça essa cautela, pois o POMS teve sensibilidade inferior a 20% para mudanças do desempenho físico (BUCHHEIT, 2015), resultado compatível com a insuficiência da frequência mensal para captar a resposta à carga. Em contrapartida, medidas repetidas em cada sessão revelaram associação entre o prazer e a carga física em jogadoras adolescentes (BUGTEN et al., 2026), o que indica que a resolução temporal da medida condiciona o achado.</w:t>
      </w:r>
    </w:p>
    <w:p>
      <w:pPr>
        <w:keepNext/>
        <w:spacing w:before="240" w:after="120" w:line="360" w:lineRule="auto"/>
        <w:ind w:left="0" w:firstLine="0"/>
        <w:jc w:val="left"/>
      </w:pPr>
      <w:r>
        <w:rPr>
          <w:rFonts w:ascii="Times New Roman" w:hAnsi="Times New Roman"/>
          <w:b/>
          <w:sz w:val="24"/>
        </w:rPr>
        <w:t>4.4 Humor na competição e sob pressão</w:t>
      </w:r>
    </w:p>
    <w:p>
      <w:pPr>
        <w:spacing w:before="0" w:after="0" w:line="360" w:lineRule="auto"/>
        <w:ind w:left="0" w:firstLine="709"/>
        <w:jc w:val="both"/>
      </w:pPr>
      <w:r>
        <w:rPr>
          <w:rFonts w:ascii="Times New Roman" w:hAnsi="Times New Roman"/>
          <w:i w:val="0"/>
          <w:sz w:val="24"/>
        </w:rPr>
        <w:t>A competição oficial revelou o humor como estado sensível ao resultado e ao significado do jogo. A vitória associou-se a humor mais positivo, e esse estado explicou parte das diferenças cognitivas observadas após a partida (LAGNER et al., 2015), o que conecta o humor às exigências de atenção e de memória de uma modalidade decidida sob pressão do adversário. O jogo oficial produziu perfil de humor menos perturbado que testes máximos de laboratório e de campo (BATALLA-GAVALDA et al., 2025, 2026), achado que evidencia a especificidade do contexto competitivo e questiona a extrapolação de respostas afetivas obtidas em testes padronizados. A variação da fadiga e do vigor após a partida, associada ao limiar de dor no ombro (OBREGÓN SIBÓN et al., 2017), sugere ainda que o perfil de humor pós-jogo acompanha o estado físico do atleta. Em atletas de praia, as habilidades psicológicas e a autoconfiança associaram-se a humor mais favorável na véspera da competição (REIGAL et al., 2020), em consonância com os modelos que vinculam a regulação emocional e o clima social ao estado afetivo dos atletas (MEYERS; TAMIR, 2024; ROBAZZA et al., 2022; TAMMINEN et al., 2019). O confinamento pela pandemia, situação extrema de privação do treino coletivo e da competição, elevou a perturbação do humor de jogadoras jovens acima da observada em atletas de modalidade individual (BATALLA-GAVALDA et al., 2021), e a solidão explicou parte do afeto de jogadores juniores (IVANOVIĆ; IVANOVIĆ, 2023). Esses achados reforçam o papel do convívio da equipe no estado afetivo.</w:t>
      </w:r>
    </w:p>
    <w:p>
      <w:pPr>
        <w:keepNext/>
        <w:spacing w:before="240" w:after="120" w:line="360" w:lineRule="auto"/>
        <w:ind w:left="0" w:firstLine="0"/>
        <w:jc w:val="left"/>
      </w:pPr>
      <w:r>
        <w:rPr>
          <w:rFonts w:ascii="Times New Roman" w:hAnsi="Times New Roman"/>
          <w:b/>
          <w:sz w:val="24"/>
        </w:rPr>
        <w:t>4.5 Intervenções sobre o humor</w:t>
      </w:r>
    </w:p>
    <w:p>
      <w:pPr>
        <w:spacing w:before="0" w:after="0" w:line="360" w:lineRule="auto"/>
        <w:ind w:left="0" w:firstLine="709"/>
        <w:jc w:val="both"/>
      </w:pPr>
      <w:r>
        <w:rPr>
          <w:rFonts w:ascii="Times New Roman" w:hAnsi="Times New Roman"/>
          <w:i w:val="0"/>
          <w:sz w:val="24"/>
        </w:rPr>
        <w:t>As intervenções mais consistentes foram de natureza social e verbal. O encorajamento verbal individual e o encorajamento combinado com instrução técnica melhoraram o humor e a valência afetiva durante a prática (AYDI et al., 2025; SAHLI et al., 2022, 2024), e o feedback negativo reduziu o afeto positivo (SOTO; GARCÍA-HERRERO; CARCEDO, 2020). Esses resultados indicam que a comunicação do treinador ou do professor é, por si, um determinante do estado afetivo no handebol. A ausência de efeito do feedback comparativo na primeira divisão (GARCÍA-HERRERO et al., 2022) sugere que o nível competitivo e a relação com o treinador moderam essa influência. As intervenções nutricionais produziram efeitos pequenos e inconsistentes (ASSUNÇÃO CARVALHO et al., 2018; MIRALLES-AMORÓS et al., 2023), e as intervenções psicológicas e musicais foram descritas de modo insuficiente para replicação (AL-WATTAR; AL-BADRANE, 2014; DIACHENKO; TYSHCHENKO, 2025; KHAZDOZI; BAHARI; ASHAYERI, 2017). Nenhuma intervenção testou estratégias de recuperação ou de sono, embora a literatura geral indique efeitos das intervenções de sono sobre o humor de atletas (GWYTHER et al., 2022).</w:t>
      </w:r>
    </w:p>
    <w:p>
      <w:pPr>
        <w:keepNext/>
        <w:spacing w:before="240" w:after="120" w:line="360" w:lineRule="auto"/>
        <w:ind w:left="0" w:firstLine="0"/>
        <w:jc w:val="left"/>
      </w:pPr>
      <w:r>
        <w:rPr>
          <w:rFonts w:ascii="Times New Roman" w:hAnsi="Times New Roman"/>
          <w:b/>
          <w:sz w:val="24"/>
        </w:rPr>
        <w:t>4.6 Qualidade metodológica, limitações e agenda</w:t>
      </w:r>
    </w:p>
    <w:p>
      <w:pPr>
        <w:spacing w:before="0" w:after="0" w:line="360" w:lineRule="auto"/>
        <w:ind w:left="0" w:firstLine="709"/>
        <w:jc w:val="both"/>
      </w:pPr>
      <w:r>
        <w:rPr>
          <w:rFonts w:ascii="Times New Roman" w:hAnsi="Times New Roman"/>
          <w:i w:val="0"/>
          <w:sz w:val="24"/>
        </w:rPr>
        <w:t>Dezoito estudos alcançaram qualidade alta, mas as falhas recorrentes envolveram a descrição da amostra, o momento da medida e o controle ou ajuste de confusão. Esta revisão também apresenta limitações. A triagem e a extração foram assistidas por modelo de linguagem, e a conferência humana por amostragem não foi concluída. Nas duas etapas, 59 relatórios não foram recuperados, e dez foram extraídos apenas do resumo. A atualização restringiu-se a cinco fontes de acesso programático, sem a Scopus, a Web of Science e a LILACS, e incluiu um preprint sem revisão por pares (BUGTEN et al., 2026). Além disso, o protocolo não foi registrado prospectivamente, e a avaliação da qualidade, com seis itens, não substitui instrumentos formais de risco de viés. A heterogeneidade de instrumentos, momentos e delineamentos impediu a metanálise (HOPKINS et al., 2009), e a síntese seguiu a diretriz SWiM (CAMPBELL et al., 2020). Entre os pontos fortes, destacam-se a busca em oito bases sem restrição de data, a atualização com consulta ao texto completo e rastreamento de citações, a releitura integral dos relatórios incluídos, que corrigiu onze decisões anteriores, e a rastreabilidade de cada resultado até o trecho literal da fonte.</w:t>
      </w:r>
    </w:p>
    <w:p>
      <w:pPr>
        <w:keepNext/>
        <w:spacing w:before="120" w:after="60" w:line="240" w:lineRule="auto"/>
        <w:ind w:left="0" w:firstLine="0"/>
        <w:jc w:val="both"/>
      </w:pPr>
      <w:r>
        <w:rPr>
          <w:rFonts w:ascii="Times New Roman" w:hAnsi="Times New Roman"/>
          <w:b/>
          <w:sz w:val="20"/>
        </w:rPr>
        <w:t>Tabela 6</w:t>
      </w:r>
      <w:r>
        <w:rPr>
          <w:rFonts w:ascii="Times New Roman" w:hAnsi="Times New Roman"/>
          <w:i w:val="0"/>
          <w:sz w:val="20"/>
        </w:rPr>
        <w:t xml:space="preserve"> – Agenda de pesquisa sobre o humor no handebol</w:t>
      </w:r>
    </w:p>
    <w:tbl>
      <w:tblPr>
        <w:jc w:val="center"/>
        <w:tblLayout w:type="fixed"/>
        <w:tblLook w:firstColumn="1" w:firstRow="1" w:lastColumn="0" w:lastRow="0" w:noHBand="0" w:noVBand="1" w:val="04A0"/>
        <w:tblW w:w="9072" w:type="dxa"/>
        <w:tblLayout w:type="fixed"/>
      </w:tblPr>
      <w:tblGrid>
        <w:gridCol w:w="1927"/>
        <w:gridCol w:w="3175"/>
        <w:gridCol w:w="3969"/>
      </w:tblGrid>
      <w:tr>
        <w:trPr>
          <w:tblHeader w:val="true"/>
        </w:trPr>
        <w:tc>
          <w:tcPr>
            <w:tcW w:w="192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Lacuna</w:t>
            </w:r>
          </w:p>
        </w:tc>
        <w:tc>
          <w:tcPr>
            <w:tcW w:w="3175"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Situação atual</w:t>
            </w:r>
          </w:p>
        </w:tc>
        <w:tc>
          <w:tcPr>
            <w:tcW w:w="3969"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Recomendação</w:t>
            </w:r>
          </w:p>
        </w:tc>
      </w:tr>
      <w:tr>
        <w:tc>
          <w:tcPr>
            <w:tcW w:w="1927" w:type="dxa"/>
            <w:tcBorders>
              <w:top w:val="nil"/>
              <w:left w:val="nil"/>
              <w:bottom w:val="nil"/>
              <w:right w:val="nil"/>
            </w:tcBorders>
          </w:tcPr>
          <w:p>
            <w:pPr>
              <w:spacing w:lineRule="exact" w:line="220" w:before="20" w:after="20"/>
              <w:jc w:val="left"/>
            </w:pPr>
            <w:r>
              <w:rPr>
                <w:rFonts w:ascii="Times New Roman" w:hAnsi="Times New Roman"/>
                <w:i w:val="0"/>
                <w:sz w:val="19"/>
              </w:rPr>
              <w:t>Momento da medida</w:t>
            </w:r>
          </w:p>
        </w:tc>
        <w:tc>
          <w:tcPr>
            <w:tcW w:w="3175" w:type="dxa"/>
            <w:tcBorders>
              <w:top w:val="nil"/>
              <w:left w:val="nil"/>
              <w:bottom w:val="nil"/>
              <w:right w:val="nil"/>
            </w:tcBorders>
          </w:tcPr>
          <w:p>
            <w:pPr>
              <w:spacing w:lineRule="exact" w:line="220" w:before="20" w:after="20"/>
              <w:jc w:val="left"/>
            </w:pPr>
            <w:r>
              <w:rPr>
                <w:rFonts w:ascii="Times New Roman" w:hAnsi="Times New Roman"/>
                <w:i w:val="0"/>
                <w:sz w:val="19"/>
              </w:rPr>
              <w:t>Declarado com precisão em parte dos estudos</w:t>
            </w:r>
          </w:p>
        </w:tc>
        <w:tc>
          <w:tcPr>
            <w:tcW w:w="3969" w:type="dxa"/>
            <w:tcBorders>
              <w:top w:val="nil"/>
              <w:left w:val="nil"/>
              <w:bottom w:val="nil"/>
              <w:right w:val="nil"/>
            </w:tcBorders>
          </w:tcPr>
          <w:p>
            <w:pPr>
              <w:spacing w:lineRule="exact" w:line="220" w:before="20" w:after="20"/>
              <w:jc w:val="left"/>
            </w:pPr>
            <w:r>
              <w:rPr>
                <w:rFonts w:ascii="Times New Roman" w:hAnsi="Times New Roman"/>
                <w:i w:val="0"/>
                <w:sz w:val="19"/>
              </w:rPr>
              <w:t>Medidas antes e após jogos e sessões, com registro do horário e do contexto</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Instrumento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POMS em versões de 30 a 65 itens; BRUMS pouco usada</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BRUMS ou versão abreviada validada do POMS, com relato de todas as dimensões</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Delineamento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Predomínio de estudos transversais; poucos ensaios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Ensaios por equipes e estudos com medidas repetidas</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Sexo e ciclo menstrual</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Amostras mistas sem análise por sexo</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Análise por sexo e registro da fase do ciclo</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Intervenções</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Comunicação verbal e feedback testados em sessões isoladas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Programas de comunicação do treinador, sono e recuperação ao longo da temporada</w:t>
            </w:r>
          </w:p>
        </w:tc>
      </w:tr>
      <w:tr>
        <w:tc>
          <w:tcPr>
            <w:tcW w:w="1927"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Desempenho em jogo</w:t>
            </w:r>
          </w:p>
        </w:tc>
        <w:tc>
          <w:tcPr>
            <w:tcW w:w="3175"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Poucos estudos relacionaram humor e rendimento</w:t>
            </w:r>
          </w:p>
        </w:tc>
        <w:tc>
          <w:tcPr>
            <w:tcW w:w="3969"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Relação entre o perfil de humor e indicadores de jogo sob pressão</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4.7 Implicações práticas</w:t>
      </w:r>
    </w:p>
    <w:p>
      <w:pPr>
        <w:spacing w:before="0" w:after="0" w:line="360" w:lineRule="auto"/>
        <w:ind w:left="0" w:firstLine="709"/>
        <w:jc w:val="both"/>
      </w:pPr>
      <w:r>
        <w:rPr>
          <w:rFonts w:ascii="Times New Roman" w:hAnsi="Times New Roman"/>
          <w:i w:val="0"/>
          <w:sz w:val="24"/>
        </w:rPr>
        <w:t>Para técnicos e preparadores, as evidências sustentam o monitoramento breve e regular do humor, com instrumento validado e em horário fixo (DE MIRANDA ROHLFS et al., 2024; TERRY; PARSONS-SMITH, 2021), a atenção às dimensões de fadiga e de vigor ao longo da temporada (BRESCIANI et al., 2010; PADILHAS et al., 2018) e o uso deliberado do encorajamento verbal individual nas sessões (AYDI et al., 2025; SAHLI et al., 2022, 2024). A comunicação negativa deve ser empregada com cautela, dada sua repercussão sobre o afeto (SOTO; GARCÍA-HERRERO; CARCEDO, 2020), e as variações associadas ao horário do dia e ao ciclo menstrual devem ser consideradas no planejamento de treinos e testes (ESSID et al., 2022; LISENCHUK et al., 2019).</w:t>
      </w:r>
    </w:p>
    <w:p>
      <w:pPr>
        <w:keepNext/>
        <w:spacing w:before="240" w:after="240" w:line="360" w:lineRule="auto"/>
        <w:ind w:left="0" w:firstLine="0"/>
        <w:jc w:val="left"/>
      </w:pPr>
      <w:r>
        <w:rPr>
          <w:rFonts w:ascii="Times New Roman" w:hAnsi="Times New Roman"/>
          <w:b/>
          <w:sz w:val="24"/>
        </w:rPr>
        <w:t>5 CONCLUSÃO</w:t>
      </w:r>
    </w:p>
    <w:p>
      <w:pPr>
        <w:spacing w:before="0" w:after="0" w:line="360" w:lineRule="auto"/>
        <w:ind w:left="0" w:firstLine="709"/>
        <w:jc w:val="both"/>
      </w:pPr>
      <w:r>
        <w:rPr>
          <w:rFonts w:ascii="Times New Roman" w:hAnsi="Times New Roman"/>
          <w:i w:val="0"/>
          <w:sz w:val="24"/>
        </w:rPr>
        <w:t>A literatura sobre os estados de humor em atletas de handebol reúne 36 estudos, publicados entre 2008 e 2026 e concentrados na Espanha, na Tunísia e no Brasil, com amostras pequenas e predominantemente femininas (QP1). O POMS e suas versões dominam a medida, aplicada em momentos nem sempre declarados (QP2). O humor variou com a carga, com o resultado e o contexto do jogo, com o horário do dia e, de modo divergente, com a fase do ciclo menstrual; o prazer no treino acompanhou a carga física, e o humor associou-se às habilidades psicológicas, à autoconfiança e ao convívio social (QP3). O encorajamento verbal e o feedback modificaram o humor durante a prática, ao passo que as intervenções nutricionais produziram efeitos inconsistentes (QP4). A qualidade metodológica foi alta em menos da metade dos estudos, e a heterogeneidade de instrumentos e de momentos impediu a síntese quantitativa (QP5). Para a prática, o monitoramento regular do humor e a comunicação positiva do treinador são as condutas com maior respaldo. Para a pesquisa, a prioridade são estudos com medidas repetidas, momento declarado, análise por sexo e delineamentos experimentais conduzidos na rotina das equipes.</w:t>
      </w:r>
    </w:p>
    <w:p>
      <w:pPr>
        <w:keepNext/>
        <w:spacing w:before="240" w:after="240" w:line="360" w:lineRule="auto"/>
        <w:ind w:left="0" w:firstLine="0"/>
        <w:jc w:val="center"/>
      </w:pPr>
      <w:r>
        <w:rPr>
          <w:rFonts w:ascii="Times New Roman" w:hAnsi="Times New Roman"/>
          <w:b/>
          <w:sz w:val="24"/>
        </w:rPr>
        <w:t>REFERÊNCIAS</w:t>
      </w:r>
    </w:p>
    <w:p>
      <w:pPr>
        <w:spacing w:before="0" w:after="120" w:line="240" w:lineRule="auto"/>
        <w:ind w:left="0" w:firstLine="0"/>
        <w:jc w:val="left"/>
      </w:pPr>
      <w:r>
        <w:rPr>
          <w:rFonts w:ascii="Times New Roman" w:hAnsi="Times New Roman"/>
          <w:i w:val="0"/>
          <w:sz w:val="24"/>
        </w:rPr>
        <w:t xml:space="preserve">AKROUSH, S. et al. Psychological mood patterns among Jordanian handball players. </w:t>
      </w:r>
      <w:r>
        <w:rPr>
          <w:rFonts w:ascii="Times New Roman" w:hAnsi="Times New Roman"/>
          <w:b/>
          <w:sz w:val="24"/>
        </w:rPr>
        <w:t>Retos</w:t>
      </w:r>
      <w:r>
        <w:rPr>
          <w:rFonts w:ascii="Times New Roman" w:hAnsi="Times New Roman"/>
          <w:i w:val="0"/>
          <w:sz w:val="24"/>
        </w:rPr>
        <w:t>, n. 62, p. 285-294, 2025. DOI: https://doi.org/10.47197/retos.v62.109407.</w:t>
      </w:r>
    </w:p>
    <w:p>
      <w:pPr>
        <w:spacing w:before="0" w:after="120" w:line="240" w:lineRule="auto"/>
        <w:ind w:left="0" w:firstLine="0"/>
        <w:jc w:val="left"/>
      </w:pPr>
      <w:r>
        <w:rPr>
          <w:rFonts w:ascii="Times New Roman" w:hAnsi="Times New Roman"/>
          <w:i w:val="0"/>
          <w:sz w:val="24"/>
        </w:rPr>
        <w:t xml:space="preserve">AL-WATTAR, N. S.; AL-BADRANE, M. M. Effect of a training program by using self-regulation strategies of mood for handball players. </w:t>
      </w:r>
      <w:r>
        <w:rPr>
          <w:rFonts w:ascii="Times New Roman" w:hAnsi="Times New Roman"/>
          <w:b/>
          <w:sz w:val="24"/>
        </w:rPr>
        <w:t>Al-Rafidain Journal for Sport Sciences</w:t>
      </w:r>
      <w:r>
        <w:rPr>
          <w:rFonts w:ascii="Times New Roman" w:hAnsi="Times New Roman"/>
          <w:i w:val="0"/>
          <w:sz w:val="24"/>
        </w:rPr>
        <w:t>, v. 20, n. 64, p. 396-444, 2014. DOI: https://doi.org/10.33899/rajsport.2014.81916.</w:t>
      </w:r>
    </w:p>
    <w:p>
      <w:pPr>
        <w:spacing w:before="0" w:after="120" w:line="240" w:lineRule="auto"/>
        <w:ind w:left="0" w:firstLine="0"/>
        <w:jc w:val="left"/>
      </w:pPr>
      <w:r>
        <w:rPr>
          <w:rFonts w:ascii="Times New Roman" w:hAnsi="Times New Roman"/>
          <w:i w:val="0"/>
          <w:sz w:val="24"/>
        </w:rPr>
        <w:t xml:space="preserve">ASSUNÇÃO CARVALHO, L. C. D. S. et al. Syzygium cumini Nectar Supplementation Reduced Biomarkers of Oxidative Stress, Muscle Damage, and Improved Psychological Response in Highly Trained Young Handball Players. </w:t>
      </w:r>
      <w:r>
        <w:rPr>
          <w:rFonts w:ascii="Times New Roman" w:hAnsi="Times New Roman"/>
          <w:b/>
          <w:sz w:val="24"/>
        </w:rPr>
        <w:t>Frontiers in Physiology</w:t>
      </w:r>
      <w:r>
        <w:rPr>
          <w:rFonts w:ascii="Times New Roman" w:hAnsi="Times New Roman"/>
          <w:i w:val="0"/>
          <w:sz w:val="24"/>
        </w:rPr>
        <w:t>, v. 9, e1508, 2018. DOI: https://doi.org/10.3389/fphys.2018.01508.</w:t>
      </w:r>
    </w:p>
    <w:p>
      <w:pPr>
        <w:spacing w:before="0" w:after="120" w:line="240" w:lineRule="auto"/>
        <w:ind w:left="0" w:firstLine="0"/>
        <w:jc w:val="left"/>
      </w:pPr>
      <w:r>
        <w:rPr>
          <w:rFonts w:ascii="Times New Roman" w:hAnsi="Times New Roman"/>
          <w:i w:val="0"/>
          <w:sz w:val="24"/>
        </w:rPr>
        <w:t xml:space="preserve">AYDI, B. et al. Empowering Obese Children in Physical Education: Exploring the Influence of Verbal Encouragement on Games Intensity, Mood States, and Physical Enjoyment during Passing Games. </w:t>
      </w:r>
      <w:r>
        <w:rPr>
          <w:rFonts w:ascii="Times New Roman" w:hAnsi="Times New Roman"/>
          <w:b/>
          <w:sz w:val="24"/>
        </w:rPr>
        <w:t>PLOS ONE</w:t>
      </w:r>
      <w:r>
        <w:rPr>
          <w:rFonts w:ascii="Times New Roman" w:hAnsi="Times New Roman"/>
          <w:i w:val="0"/>
          <w:sz w:val="24"/>
        </w:rPr>
        <w:t>, v. 20, n. 4, e0319414, 2025. DOI: https://doi.org/10.1371/journal.pone.0319414.</w:t>
      </w:r>
    </w:p>
    <w:p>
      <w:pPr>
        <w:spacing w:before="0" w:after="120" w:line="240" w:lineRule="auto"/>
        <w:ind w:left="0" w:firstLine="0"/>
        <w:jc w:val="left"/>
      </w:pPr>
      <w:r>
        <w:rPr>
          <w:rFonts w:ascii="Times New Roman" w:hAnsi="Times New Roman"/>
          <w:i w:val="0"/>
          <w:sz w:val="24"/>
        </w:rPr>
        <w:t xml:space="preserve">BATALLA-GAVALDA, A. et al. Ecological Validity of Maximal Exercise Tests to Simulate Competitive Demands in Amateur Female Handball. </w:t>
      </w:r>
      <w:r>
        <w:rPr>
          <w:rFonts w:ascii="Times New Roman" w:hAnsi="Times New Roman"/>
          <w:b/>
          <w:sz w:val="24"/>
        </w:rPr>
        <w:t>Acta Kinesiologica</w:t>
      </w:r>
      <w:r>
        <w:rPr>
          <w:rFonts w:ascii="Times New Roman" w:hAnsi="Times New Roman"/>
          <w:i w:val="0"/>
          <w:sz w:val="24"/>
        </w:rPr>
        <w:t>, p. 34-42, 2026. DOI: https://doi.org/10.51371/issn.1840-2976.651.</w:t>
      </w:r>
    </w:p>
    <w:p>
      <w:pPr>
        <w:spacing w:before="0" w:after="120" w:line="240" w:lineRule="auto"/>
        <w:ind w:left="0" w:firstLine="0"/>
        <w:jc w:val="left"/>
      </w:pPr>
      <w:r>
        <w:rPr>
          <w:rFonts w:ascii="Times New Roman" w:hAnsi="Times New Roman"/>
          <w:i w:val="0"/>
          <w:sz w:val="24"/>
        </w:rPr>
        <w:t xml:space="preserve">BATALLA-GAVALDA, A. et al. Mayor validez ecológica del Game-Based Performance Test en comparación con el Yo-Yo IR1 en jugadoras de balonmano amateur. </w:t>
      </w:r>
      <w:r>
        <w:rPr>
          <w:rFonts w:ascii="Times New Roman" w:hAnsi="Times New Roman"/>
          <w:b/>
          <w:sz w:val="24"/>
        </w:rPr>
        <w:t>Journal of Sport and Health Research</w:t>
      </w:r>
      <w:r>
        <w:rPr>
          <w:rFonts w:ascii="Times New Roman" w:hAnsi="Times New Roman"/>
          <w:i w:val="0"/>
          <w:sz w:val="24"/>
        </w:rPr>
        <w:t>, v. 17, n. Supl. 2, p. 178-196, 2025. DOI: https://doi.org/10.58727/jshr.118640.</w:t>
      </w:r>
    </w:p>
    <w:p>
      <w:pPr>
        <w:spacing w:before="0" w:after="120" w:line="240" w:lineRule="auto"/>
        <w:ind w:left="0" w:firstLine="0"/>
        <w:jc w:val="left"/>
      </w:pPr>
      <w:r>
        <w:rPr>
          <w:rFonts w:ascii="Times New Roman" w:hAnsi="Times New Roman"/>
          <w:i w:val="0"/>
          <w:sz w:val="24"/>
        </w:rPr>
        <w:t xml:space="preserve">BATALLA-GAVALDA, A. et al. Variations in the Mood States during the Different Phases of COVID-19’s Lockdown in Young Athletes. </w:t>
      </w:r>
      <w:r>
        <w:rPr>
          <w:rFonts w:ascii="Times New Roman" w:hAnsi="Times New Roman"/>
          <w:b/>
          <w:sz w:val="24"/>
        </w:rPr>
        <w:t>International Journal of Environmental Research and Public Health</w:t>
      </w:r>
      <w:r>
        <w:rPr>
          <w:rFonts w:ascii="Times New Roman" w:hAnsi="Times New Roman"/>
          <w:i w:val="0"/>
          <w:sz w:val="24"/>
        </w:rPr>
        <w:t>, v. 18, n. 17, e9326, 2021. DOI: https://doi.org/10.3390/ijerph18179326.</w:t>
      </w:r>
    </w:p>
    <w:p>
      <w:pPr>
        <w:spacing w:before="0" w:after="120" w:line="240" w:lineRule="auto"/>
        <w:ind w:left="0" w:firstLine="0"/>
        <w:jc w:val="left"/>
      </w:pPr>
      <w:r>
        <w:rPr>
          <w:rFonts w:ascii="Times New Roman" w:hAnsi="Times New Roman"/>
          <w:i w:val="0"/>
          <w:sz w:val="24"/>
        </w:rPr>
        <w:t xml:space="preserve">BEEDIE, C. J.; TERRY, P. C.; LANE, A. M. The profile of mood states and athletic performance: Two meta-analyses. </w:t>
      </w:r>
      <w:r>
        <w:rPr>
          <w:rFonts w:ascii="Times New Roman" w:hAnsi="Times New Roman"/>
          <w:b/>
          <w:sz w:val="24"/>
        </w:rPr>
        <w:t>Journal of Applied Sport Psychology</w:t>
      </w:r>
      <w:r>
        <w:rPr>
          <w:rFonts w:ascii="Times New Roman" w:hAnsi="Times New Roman"/>
          <w:i w:val="0"/>
          <w:sz w:val="24"/>
        </w:rPr>
        <w:t>, v. 12, n. 1, p. 49-68, 2000. DOI: https://doi.org/10.1080/10413200008404213.</w:t>
      </w:r>
    </w:p>
    <w:p>
      <w:pPr>
        <w:spacing w:before="0" w:after="120" w:line="240" w:lineRule="auto"/>
        <w:ind w:left="0" w:firstLine="0"/>
        <w:jc w:val="left"/>
      </w:pPr>
      <w:r>
        <w:rPr>
          <w:rFonts w:ascii="Times New Roman" w:hAnsi="Times New Roman"/>
          <w:i w:val="0"/>
          <w:sz w:val="24"/>
        </w:rPr>
        <w:t xml:space="preserve">BEEDIE, C.; TERRY, P.; LANE, A. Distinctions between emotion and mood. </w:t>
      </w:r>
      <w:r>
        <w:rPr>
          <w:rFonts w:ascii="Times New Roman" w:hAnsi="Times New Roman"/>
          <w:b/>
          <w:sz w:val="24"/>
        </w:rPr>
        <w:t>Cognition and Emotion</w:t>
      </w:r>
      <w:r>
        <w:rPr>
          <w:rFonts w:ascii="Times New Roman" w:hAnsi="Times New Roman"/>
          <w:i w:val="0"/>
          <w:sz w:val="24"/>
        </w:rPr>
        <w:t>, v. 19, n. 6, p. 847-878, 2005. DOI: https://doi.org/10.1080/02699930541000057.</w:t>
      </w:r>
    </w:p>
    <w:p>
      <w:pPr>
        <w:spacing w:before="0" w:after="120" w:line="240" w:lineRule="auto"/>
        <w:ind w:left="0" w:firstLine="0"/>
        <w:jc w:val="left"/>
      </w:pPr>
      <w:r>
        <w:rPr>
          <w:rFonts w:ascii="Times New Roman" w:hAnsi="Times New Roman"/>
          <w:i w:val="0"/>
          <w:sz w:val="24"/>
        </w:rPr>
        <w:t xml:space="preserve">BRESCIANI, G. et al. Monitoring biological and psychological measures throughout an entire season in male handball players. </w:t>
      </w:r>
      <w:r>
        <w:rPr>
          <w:rFonts w:ascii="Times New Roman" w:hAnsi="Times New Roman"/>
          <w:b/>
          <w:sz w:val="24"/>
        </w:rPr>
        <w:t>European Journal of Sport Science</w:t>
      </w:r>
      <w:r>
        <w:rPr>
          <w:rFonts w:ascii="Times New Roman" w:hAnsi="Times New Roman"/>
          <w:i w:val="0"/>
          <w:sz w:val="24"/>
        </w:rPr>
        <w:t>, v. 10, n. 6, p. 377-384, 2010. DOI: https://doi.org/10.1080/17461391003699070.</w:t>
      </w:r>
    </w:p>
    <w:p>
      <w:pPr>
        <w:spacing w:before="0" w:after="120" w:line="240" w:lineRule="auto"/>
        <w:ind w:left="0" w:firstLine="0"/>
        <w:jc w:val="left"/>
      </w:pPr>
      <w:r>
        <w:rPr>
          <w:rFonts w:ascii="Times New Roman" w:hAnsi="Times New Roman"/>
          <w:i w:val="0"/>
          <w:sz w:val="24"/>
        </w:rPr>
        <w:t xml:space="preserve">BUCHHEIT, M. Sensitivity of monthly heart rate and psychometric measures for monitoring physical performance in highly trained young handball players. </w:t>
      </w:r>
      <w:r>
        <w:rPr>
          <w:rFonts w:ascii="Times New Roman" w:hAnsi="Times New Roman"/>
          <w:b/>
          <w:sz w:val="24"/>
        </w:rPr>
        <w:t>International Journal of Sports Medicine</w:t>
      </w:r>
      <w:r>
        <w:rPr>
          <w:rFonts w:ascii="Times New Roman" w:hAnsi="Times New Roman"/>
          <w:i w:val="0"/>
          <w:sz w:val="24"/>
        </w:rPr>
        <w:t>, v. 36, n. 5, p. 351-356, 2015. DOI: https://doi.org/10.1055/s-0034-1385882.</w:t>
      </w:r>
    </w:p>
    <w:p>
      <w:pPr>
        <w:spacing w:before="0" w:after="120" w:line="240" w:lineRule="auto"/>
        <w:ind w:left="0" w:firstLine="0"/>
        <w:jc w:val="left"/>
      </w:pPr>
      <w:r>
        <w:rPr>
          <w:rFonts w:ascii="Times New Roman" w:hAnsi="Times New Roman"/>
          <w:i w:val="0"/>
          <w:sz w:val="24"/>
        </w:rPr>
        <w:t xml:space="preserve">BUGTEN, J. B. et al. Youth players basic need satisfaction, enjoyment and pleasure within daily team sport training sessions, and the relationships with physical load engagement: an intensive within-person longitudinal study. </w:t>
      </w:r>
      <w:r>
        <w:rPr>
          <w:rFonts w:ascii="Times New Roman" w:hAnsi="Times New Roman"/>
          <w:b/>
          <w:sz w:val="24"/>
        </w:rPr>
        <w:t>Research Square</w:t>
      </w:r>
      <w:r>
        <w:rPr>
          <w:rFonts w:ascii="Times New Roman" w:hAnsi="Times New Roman"/>
          <w:i w:val="0"/>
          <w:sz w:val="24"/>
        </w:rPr>
        <w:t>, 2026. Preprint. DOI: https://doi.org/10.21203/rs.3.rs-8338987/v1.</w:t>
      </w:r>
    </w:p>
    <w:p>
      <w:pPr>
        <w:spacing w:before="0" w:after="120" w:line="240" w:lineRule="auto"/>
        <w:ind w:left="0" w:firstLine="0"/>
        <w:jc w:val="left"/>
      </w:pPr>
      <w:r>
        <w:rPr>
          <w:rFonts w:ascii="Times New Roman" w:hAnsi="Times New Roman"/>
          <w:i w:val="0"/>
          <w:sz w:val="24"/>
        </w:rPr>
        <w:t xml:space="preserve">CAMPBELL, M. et al. Synthesis without meta-analysis (SWiM) in systematic reviews: reporting guideline. </w:t>
      </w:r>
      <w:r>
        <w:rPr>
          <w:rFonts w:ascii="Times New Roman" w:hAnsi="Times New Roman"/>
          <w:b/>
          <w:sz w:val="24"/>
        </w:rPr>
        <w:t>BMJ</w:t>
      </w:r>
      <w:r>
        <w:rPr>
          <w:rFonts w:ascii="Times New Roman" w:hAnsi="Times New Roman"/>
          <w:i w:val="0"/>
          <w:sz w:val="24"/>
        </w:rPr>
        <w:t>, l6890, 2020. DOI: https://doi.org/10.1136/bmj.l6890.</w:t>
      </w:r>
    </w:p>
    <w:p>
      <w:pPr>
        <w:spacing w:before="0" w:after="120" w:line="240" w:lineRule="auto"/>
        <w:ind w:left="0" w:firstLine="0"/>
        <w:jc w:val="left"/>
      </w:pPr>
      <w:r>
        <w:rPr>
          <w:rFonts w:ascii="Times New Roman" w:hAnsi="Times New Roman"/>
          <w:i w:val="0"/>
          <w:sz w:val="24"/>
        </w:rPr>
        <w:t xml:space="preserve">CLEVELAND, W. S. Robust Locally Weighted Regression and Smoothing Scatterplots. </w:t>
      </w:r>
      <w:r>
        <w:rPr>
          <w:rFonts w:ascii="Times New Roman" w:hAnsi="Times New Roman"/>
          <w:b/>
          <w:sz w:val="24"/>
        </w:rPr>
        <w:t>Journal of the American Statistical Association</w:t>
      </w:r>
      <w:r>
        <w:rPr>
          <w:rFonts w:ascii="Times New Roman" w:hAnsi="Times New Roman"/>
          <w:i w:val="0"/>
          <w:sz w:val="24"/>
        </w:rPr>
        <w:t>, v. 74, n. 368, p. 829-836, 1979. DOI: https://doi.org/10.1080/01621459.1979.10481038.</w:t>
      </w:r>
    </w:p>
    <w:p>
      <w:pPr>
        <w:spacing w:before="0" w:after="120" w:line="240" w:lineRule="auto"/>
        <w:ind w:left="0" w:firstLine="0"/>
        <w:jc w:val="left"/>
      </w:pPr>
      <w:r>
        <w:rPr>
          <w:rFonts w:ascii="Times New Roman" w:hAnsi="Times New Roman"/>
          <w:i w:val="0"/>
          <w:sz w:val="24"/>
        </w:rPr>
        <w:t xml:space="preserve">COHEN, J. A Coefficient of Agreement for Nominal Scales. </w:t>
      </w:r>
      <w:r>
        <w:rPr>
          <w:rFonts w:ascii="Times New Roman" w:hAnsi="Times New Roman"/>
          <w:b/>
          <w:sz w:val="24"/>
        </w:rPr>
        <w:t>Educational and Psychological Measurement</w:t>
      </w:r>
      <w:r>
        <w:rPr>
          <w:rFonts w:ascii="Times New Roman" w:hAnsi="Times New Roman"/>
          <w:i w:val="0"/>
          <w:sz w:val="24"/>
        </w:rPr>
        <w:t>, v. 20, n. 1, p. 37-46, 1960. DOI: https://doi.org/10.1177/001316446002000104.</w:t>
      </w:r>
    </w:p>
    <w:p>
      <w:pPr>
        <w:spacing w:before="0" w:after="120" w:line="240" w:lineRule="auto"/>
        <w:ind w:left="0" w:firstLine="0"/>
        <w:jc w:val="left"/>
      </w:pPr>
      <w:r>
        <w:rPr>
          <w:rFonts w:ascii="Times New Roman" w:hAnsi="Times New Roman"/>
          <w:i w:val="0"/>
          <w:sz w:val="24"/>
        </w:rPr>
        <w:t xml:space="preserve">DE MIRANDA ROHLFS, I. C. P. et al. Prevalence of Specific Mood Profile Clusters among Elite and Youth Athletes at a Brazilian Sports Club. </w:t>
      </w:r>
      <w:r>
        <w:rPr>
          <w:rFonts w:ascii="Times New Roman" w:hAnsi="Times New Roman"/>
          <w:b/>
          <w:sz w:val="24"/>
        </w:rPr>
        <w:t>Sports</w:t>
      </w:r>
      <w:r>
        <w:rPr>
          <w:rFonts w:ascii="Times New Roman" w:hAnsi="Times New Roman"/>
          <w:i w:val="0"/>
          <w:sz w:val="24"/>
        </w:rPr>
        <w:t>, v. 12, n. 7, e195, 2024. DOI: https://doi.org/10.3390/sports12070195.</w:t>
      </w:r>
    </w:p>
    <w:p>
      <w:pPr>
        <w:spacing w:before="0" w:after="120" w:line="240" w:lineRule="auto"/>
        <w:ind w:left="0" w:firstLine="0"/>
        <w:jc w:val="left"/>
      </w:pPr>
      <w:r>
        <w:rPr>
          <w:rFonts w:ascii="Times New Roman" w:hAnsi="Times New Roman"/>
          <w:i w:val="0"/>
          <w:sz w:val="24"/>
        </w:rPr>
        <w:t xml:space="preserve">DIACHENKO, M.; TYSHCHENKO, V. Psycho-emotional regulation of female handball players during training. </w:t>
      </w:r>
      <w:r>
        <w:rPr>
          <w:rFonts w:ascii="Times New Roman" w:hAnsi="Times New Roman"/>
          <w:b/>
          <w:sz w:val="24"/>
        </w:rPr>
        <w:t>Scientific Journal of National Pedagogical Dragomanov University. Series 15: Scientific and Pedagogical Problems of Physical Culture (Physical Culture and Sports)</w:t>
      </w:r>
      <w:r>
        <w:rPr>
          <w:rFonts w:ascii="Times New Roman" w:hAnsi="Times New Roman"/>
          <w:i w:val="0"/>
          <w:sz w:val="24"/>
        </w:rPr>
        <w:t>, n. 5K(191), p. 66-70, 2025. DOI: https://doi.org/10.31392/udu-nc.series15.2025.05k(191).13.</w:t>
      </w:r>
    </w:p>
    <w:p>
      <w:pPr>
        <w:spacing w:before="0" w:after="120" w:line="240" w:lineRule="auto"/>
        <w:ind w:left="0" w:firstLine="0"/>
        <w:jc w:val="left"/>
      </w:pPr>
      <w:r>
        <w:rPr>
          <w:rFonts w:ascii="Times New Roman" w:hAnsi="Times New Roman"/>
          <w:i w:val="0"/>
          <w:sz w:val="24"/>
        </w:rPr>
        <w:t xml:space="preserve">DOWNES, M. J. et al. Development of a critical appraisal tool to assess the quality of cross-sectional studies (AXIS). </w:t>
      </w:r>
      <w:r>
        <w:rPr>
          <w:rFonts w:ascii="Times New Roman" w:hAnsi="Times New Roman"/>
          <w:b/>
          <w:sz w:val="24"/>
        </w:rPr>
        <w:t>BMJ Open</w:t>
      </w:r>
      <w:r>
        <w:rPr>
          <w:rFonts w:ascii="Times New Roman" w:hAnsi="Times New Roman"/>
          <w:i w:val="0"/>
          <w:sz w:val="24"/>
        </w:rPr>
        <w:t>, v. 6, n. 12, e011458, 2016. DOI: https://doi.org/10.1136/bmjopen-2016-011458.</w:t>
      </w:r>
    </w:p>
    <w:p>
      <w:pPr>
        <w:spacing w:before="0" w:after="120" w:line="240" w:lineRule="auto"/>
        <w:ind w:left="0" w:firstLine="0"/>
        <w:jc w:val="left"/>
      </w:pPr>
      <w:r>
        <w:rPr>
          <w:rFonts w:ascii="Times New Roman" w:hAnsi="Times New Roman"/>
          <w:i w:val="0"/>
          <w:sz w:val="24"/>
        </w:rPr>
        <w:t xml:space="preserve">DURAI, C.; ATHISAYARAJ, S. Comparison of mood states between handball and volleyball players. </w:t>
      </w:r>
      <w:r>
        <w:rPr>
          <w:rFonts w:ascii="Times New Roman" w:hAnsi="Times New Roman"/>
          <w:b/>
          <w:sz w:val="24"/>
        </w:rPr>
        <w:t>International Journal of Physiology, Nutrition and Physical Education</w:t>
      </w:r>
      <w:r>
        <w:rPr>
          <w:rFonts w:ascii="Times New Roman" w:hAnsi="Times New Roman"/>
          <w:i w:val="0"/>
          <w:sz w:val="24"/>
        </w:rPr>
        <w:t>, v. 3, n. 2, p. 43-44, 2018.</w:t>
      </w:r>
    </w:p>
    <w:p>
      <w:pPr>
        <w:spacing w:before="0" w:after="120" w:line="240" w:lineRule="auto"/>
        <w:ind w:left="0" w:firstLine="0"/>
        <w:jc w:val="left"/>
      </w:pPr>
      <w:r>
        <w:rPr>
          <w:rFonts w:ascii="Times New Roman" w:hAnsi="Times New Roman"/>
          <w:i w:val="0"/>
          <w:sz w:val="24"/>
        </w:rPr>
        <w:t xml:space="preserve">EKKEKAKIS, P.; BRAND, R. Affective responses to and automatic affective valuations of physical activity: Fifty years of progress on the seminal question in exercise psychology. </w:t>
      </w:r>
      <w:r>
        <w:rPr>
          <w:rFonts w:ascii="Times New Roman" w:hAnsi="Times New Roman"/>
          <w:b/>
          <w:sz w:val="24"/>
        </w:rPr>
        <w:t>Psychology of Sport and Exercise</w:t>
      </w:r>
      <w:r>
        <w:rPr>
          <w:rFonts w:ascii="Times New Roman" w:hAnsi="Times New Roman"/>
          <w:i w:val="0"/>
          <w:sz w:val="24"/>
        </w:rPr>
        <w:t>, v. 42, p. 130-137, 2019. DOI: https://doi.org/10.1016/j.psychsport.2018.12.018.</w:t>
      </w:r>
    </w:p>
    <w:p>
      <w:pPr>
        <w:spacing w:before="0" w:after="120" w:line="240" w:lineRule="auto"/>
        <w:ind w:left="0" w:firstLine="0"/>
        <w:jc w:val="left"/>
      </w:pPr>
      <w:r>
        <w:rPr>
          <w:rFonts w:ascii="Times New Roman" w:hAnsi="Times New Roman"/>
          <w:i w:val="0"/>
          <w:sz w:val="24"/>
        </w:rPr>
        <w:t xml:space="preserve">ESSID, S. et al. Time-of-day effects in physical performances and psychological responses in young elite male handball players. </w:t>
      </w:r>
      <w:r>
        <w:rPr>
          <w:rFonts w:ascii="Times New Roman" w:hAnsi="Times New Roman"/>
          <w:b/>
          <w:sz w:val="24"/>
        </w:rPr>
        <w:t>Biological Rhythm Research</w:t>
      </w:r>
      <w:r>
        <w:rPr>
          <w:rFonts w:ascii="Times New Roman" w:hAnsi="Times New Roman"/>
          <w:i w:val="0"/>
          <w:sz w:val="24"/>
        </w:rPr>
        <w:t>, v. 53, n. 8, p. 1261-1272, 2022. DOI: https://doi.org/10.1080/09291016.2021.1922212.</w:t>
      </w:r>
    </w:p>
    <w:p>
      <w:pPr>
        <w:spacing w:before="0" w:after="120" w:line="240" w:lineRule="auto"/>
        <w:ind w:left="0" w:firstLine="0"/>
        <w:jc w:val="left"/>
      </w:pPr>
      <w:r>
        <w:rPr>
          <w:rFonts w:ascii="Times New Roman" w:hAnsi="Times New Roman"/>
          <w:i w:val="0"/>
          <w:sz w:val="24"/>
        </w:rPr>
        <w:t>FARZANEGI, P. et al. The effect of winning/losing on profiles of mood states and salivary cortisol concentration in female handball players. Tehran: Islamic Azad University, [2008?]. Disponível em: https://sanad.iau.ir/en/Article/889921. Acesso em: 21 out. 2026.</w:t>
      </w:r>
    </w:p>
    <w:p>
      <w:pPr>
        <w:spacing w:before="0" w:after="120" w:line="240" w:lineRule="auto"/>
        <w:ind w:left="0" w:firstLine="0"/>
        <w:jc w:val="left"/>
      </w:pPr>
      <w:r>
        <w:rPr>
          <w:rFonts w:ascii="Times New Roman" w:hAnsi="Times New Roman"/>
          <w:i w:val="0"/>
          <w:sz w:val="24"/>
        </w:rPr>
        <w:t xml:space="preserve">GALVÃO, M. C. B.; RICARTE, I. L. M. Revisão sistemática da literatura: conceituação, produção e publicação. </w:t>
      </w:r>
      <w:r>
        <w:rPr>
          <w:rFonts w:ascii="Times New Roman" w:hAnsi="Times New Roman"/>
          <w:b/>
          <w:sz w:val="24"/>
        </w:rPr>
        <w:t>Logeion: Filosofia da Informação</w:t>
      </w:r>
      <w:r>
        <w:rPr>
          <w:rFonts w:ascii="Times New Roman" w:hAnsi="Times New Roman"/>
          <w:i w:val="0"/>
          <w:sz w:val="24"/>
        </w:rPr>
        <w:t>, v. 6, n. 1, p. 57-73, 2019. DOI: https://doi.org/10.21728/logeion.2019v6n1.p57-73.</w:t>
      </w:r>
    </w:p>
    <w:p>
      <w:pPr>
        <w:spacing w:before="0" w:after="120" w:line="240" w:lineRule="auto"/>
        <w:ind w:left="0" w:firstLine="0"/>
        <w:jc w:val="left"/>
      </w:pPr>
      <w:r>
        <w:rPr>
          <w:rFonts w:ascii="Times New Roman" w:hAnsi="Times New Roman"/>
          <w:i w:val="0"/>
          <w:sz w:val="24"/>
        </w:rPr>
        <w:t xml:space="preserve">GARCÍA-HERRERO, J. A. et al. Analysis of the Relationship between Satisfaction with the Coach and the Effect of Comparative Social Feedback in Elite Female Handball Players. </w:t>
      </w:r>
      <w:r>
        <w:rPr>
          <w:rFonts w:ascii="Times New Roman" w:hAnsi="Times New Roman"/>
          <w:b/>
          <w:sz w:val="24"/>
        </w:rPr>
        <w:t>International Journal of Environmental Research and Public Health</w:t>
      </w:r>
      <w:r>
        <w:rPr>
          <w:rFonts w:ascii="Times New Roman" w:hAnsi="Times New Roman"/>
          <w:i w:val="0"/>
          <w:sz w:val="24"/>
        </w:rPr>
        <w:t>, v. 19, n. 13, e7680, 2022. DOI: https://doi.org/10.3390/ijerph19137680.</w:t>
      </w:r>
    </w:p>
    <w:p>
      <w:pPr>
        <w:spacing w:before="0" w:after="120" w:line="240" w:lineRule="auto"/>
        <w:ind w:left="0" w:firstLine="0"/>
        <w:jc w:val="left"/>
      </w:pPr>
      <w:r>
        <w:rPr>
          <w:rFonts w:ascii="Times New Roman" w:hAnsi="Times New Roman"/>
          <w:i w:val="0"/>
          <w:sz w:val="24"/>
        </w:rPr>
        <w:t xml:space="preserve">GARWOOD, F. (i) Fiducial Limits for the Poisson Distribution. </w:t>
      </w:r>
      <w:r>
        <w:rPr>
          <w:rFonts w:ascii="Times New Roman" w:hAnsi="Times New Roman"/>
          <w:b/>
          <w:sz w:val="24"/>
        </w:rPr>
        <w:t>Biometrika</w:t>
      </w:r>
      <w:r>
        <w:rPr>
          <w:rFonts w:ascii="Times New Roman" w:hAnsi="Times New Roman"/>
          <w:i w:val="0"/>
          <w:sz w:val="24"/>
        </w:rPr>
        <w:t>, v. 28, n. 3-4, p. 437-442, 1936. DOI: https://doi.org/10.1093/biomet/28.3-4.437.</w:t>
      </w:r>
    </w:p>
    <w:p>
      <w:pPr>
        <w:spacing w:before="0" w:after="120" w:line="240" w:lineRule="auto"/>
        <w:ind w:left="0" w:firstLine="0"/>
        <w:jc w:val="left"/>
      </w:pPr>
      <w:r>
        <w:rPr>
          <w:rFonts w:ascii="Times New Roman" w:hAnsi="Times New Roman"/>
          <w:i w:val="0"/>
          <w:sz w:val="24"/>
        </w:rPr>
        <w:t xml:space="preserve">GHAZEL, N. et al. The effect of music on short-term exercise performance during the different menstrual cycle phases in female handball players. </w:t>
      </w:r>
      <w:r>
        <w:rPr>
          <w:rFonts w:ascii="Times New Roman" w:hAnsi="Times New Roman"/>
          <w:b/>
          <w:sz w:val="24"/>
        </w:rPr>
        <w:t>Research in Sports Medicine</w:t>
      </w:r>
      <w:r>
        <w:rPr>
          <w:rFonts w:ascii="Times New Roman" w:hAnsi="Times New Roman"/>
          <w:i w:val="0"/>
          <w:sz w:val="24"/>
        </w:rPr>
        <w:t>, v. 30, n. 1, p. 50-60, 2022. DOI: https://doi.org/10.1080/15438627.2020.1860045.</w:t>
      </w:r>
    </w:p>
    <w:p>
      <w:pPr>
        <w:spacing w:before="0" w:after="120" w:line="240" w:lineRule="auto"/>
        <w:ind w:left="0" w:firstLine="0"/>
        <w:jc w:val="left"/>
      </w:pPr>
      <w:r>
        <w:rPr>
          <w:rFonts w:ascii="Times New Roman" w:hAnsi="Times New Roman"/>
          <w:i w:val="0"/>
          <w:sz w:val="24"/>
        </w:rPr>
        <w:t xml:space="preserve">GOUTTEBARGE, V. et al. Occurrence of mental health symptoms and disorders in current and former elite athletes: a systematic review and meta-analysis. </w:t>
      </w:r>
      <w:r>
        <w:rPr>
          <w:rFonts w:ascii="Times New Roman" w:hAnsi="Times New Roman"/>
          <w:b/>
          <w:sz w:val="24"/>
        </w:rPr>
        <w:t>British Journal of Sports Medicine</w:t>
      </w:r>
      <w:r>
        <w:rPr>
          <w:rFonts w:ascii="Times New Roman" w:hAnsi="Times New Roman"/>
          <w:i w:val="0"/>
          <w:sz w:val="24"/>
        </w:rPr>
        <w:t>, v. 53, n. 11, p. 700-706, 2019. DOI: https://doi.org/10.1136/bjsports-2019-100671.</w:t>
      </w:r>
    </w:p>
    <w:p>
      <w:pPr>
        <w:spacing w:before="0" w:after="120" w:line="240" w:lineRule="auto"/>
        <w:ind w:left="0" w:firstLine="0"/>
        <w:jc w:val="left"/>
      </w:pPr>
      <w:r>
        <w:rPr>
          <w:rFonts w:ascii="Times New Roman" w:hAnsi="Times New Roman"/>
          <w:i w:val="0"/>
          <w:sz w:val="24"/>
        </w:rPr>
        <w:t xml:space="preserve">GÜMÜŞ, H.; GENÇOĞLU, C. The effects of the goalkeeper substitution rule as a new strategy in handball: Analysis of Men's European Handball Championship 2020. </w:t>
      </w:r>
      <w:r>
        <w:rPr>
          <w:rFonts w:ascii="Times New Roman" w:hAnsi="Times New Roman"/>
          <w:b/>
          <w:sz w:val="24"/>
        </w:rPr>
        <w:t>Acta Gymnica</w:t>
      </w:r>
      <w:r>
        <w:rPr>
          <w:rFonts w:ascii="Times New Roman" w:hAnsi="Times New Roman"/>
          <w:i w:val="0"/>
          <w:sz w:val="24"/>
        </w:rPr>
        <w:t>, v. 50, n. 3, p. 113-121, 2020. DOI: https://doi.org/10.5507/ag.2020.015.</w:t>
      </w:r>
    </w:p>
    <w:p>
      <w:pPr>
        <w:spacing w:before="0" w:after="120" w:line="240" w:lineRule="auto"/>
        <w:ind w:left="0" w:firstLine="0"/>
        <w:jc w:val="left"/>
      </w:pPr>
      <w:r>
        <w:rPr>
          <w:rFonts w:ascii="Times New Roman" w:hAnsi="Times New Roman"/>
          <w:i w:val="0"/>
          <w:sz w:val="24"/>
        </w:rPr>
        <w:t xml:space="preserve">GWYTHER, K. et al. Sleep interventions for performance, mood and sleep outcomes in athletes: A systematic review and meta-analysis. </w:t>
      </w:r>
      <w:r>
        <w:rPr>
          <w:rFonts w:ascii="Times New Roman" w:hAnsi="Times New Roman"/>
          <w:b/>
          <w:sz w:val="24"/>
        </w:rPr>
        <w:t>Psychology of Sport and Exercise</w:t>
      </w:r>
      <w:r>
        <w:rPr>
          <w:rFonts w:ascii="Times New Roman" w:hAnsi="Times New Roman"/>
          <w:i w:val="0"/>
          <w:sz w:val="24"/>
        </w:rPr>
        <w:t>, v. 58, e102094, 2022. DOI: https://doi.org/10.1016/j.psychsport.2021.102094.</w:t>
      </w:r>
    </w:p>
    <w:p>
      <w:pPr>
        <w:spacing w:before="0" w:after="120" w:line="240" w:lineRule="auto"/>
        <w:ind w:left="0" w:firstLine="0"/>
        <w:jc w:val="left"/>
      </w:pPr>
      <w:r>
        <w:rPr>
          <w:rFonts w:ascii="Times New Roman" w:hAnsi="Times New Roman"/>
          <w:i w:val="0"/>
          <w:sz w:val="24"/>
        </w:rPr>
        <w:t xml:space="preserve">HAN, C. S. Y.; PARSONS-SMITH, R. L.; TERRY, P. C. Mood Profiling in Singapore: Cross-Cultural Validation and Potential Applications of Mood Profile Clusters. </w:t>
      </w:r>
      <w:r>
        <w:rPr>
          <w:rFonts w:ascii="Times New Roman" w:hAnsi="Times New Roman"/>
          <w:b/>
          <w:sz w:val="24"/>
        </w:rPr>
        <w:t>Frontiers in Psychology</w:t>
      </w:r>
      <w:r>
        <w:rPr>
          <w:rFonts w:ascii="Times New Roman" w:hAnsi="Times New Roman"/>
          <w:i w:val="0"/>
          <w:sz w:val="24"/>
        </w:rPr>
        <w:t>, v. 11, e665, 2020. DOI: https://doi.org/10.3389/fpsyg.2020.00665.</w:t>
      </w:r>
    </w:p>
    <w:p>
      <w:pPr>
        <w:spacing w:before="0" w:after="120" w:line="240" w:lineRule="auto"/>
        <w:ind w:left="0" w:firstLine="0"/>
        <w:jc w:val="left"/>
      </w:pPr>
      <w:r>
        <w:rPr>
          <w:rFonts w:ascii="Times New Roman" w:hAnsi="Times New Roman"/>
          <w:i w:val="0"/>
          <w:sz w:val="24"/>
        </w:rPr>
        <w:t xml:space="preserve">HARDY, C. J.; REJESKI, W. J. Not What, but How One Feels: The Measurement of Affect during Exercise. </w:t>
      </w:r>
      <w:r>
        <w:rPr>
          <w:rFonts w:ascii="Times New Roman" w:hAnsi="Times New Roman"/>
          <w:b/>
          <w:sz w:val="24"/>
        </w:rPr>
        <w:t>Journal of Sport and Exercise Psychology</w:t>
      </w:r>
      <w:r>
        <w:rPr>
          <w:rFonts w:ascii="Times New Roman" w:hAnsi="Times New Roman"/>
          <w:i w:val="0"/>
          <w:sz w:val="24"/>
        </w:rPr>
        <w:t>, v. 11, n. 3, p. 304-317, 1989. DOI: https://doi.org/10.1123/jsep.11.3.304.</w:t>
      </w:r>
    </w:p>
    <w:p>
      <w:pPr>
        <w:spacing w:before="0" w:after="120" w:line="240" w:lineRule="auto"/>
        <w:ind w:left="0" w:firstLine="0"/>
        <w:jc w:val="left"/>
      </w:pPr>
      <w:r>
        <w:rPr>
          <w:rFonts w:ascii="Times New Roman" w:hAnsi="Times New Roman"/>
          <w:i w:val="0"/>
          <w:sz w:val="24"/>
        </w:rPr>
        <w:t xml:space="preserve">HINZ, M. et al. Differences in Decision-Making Behavior Between Elite and Amateur Team-Handball Players in a Near-Game Test Situation. </w:t>
      </w:r>
      <w:r>
        <w:rPr>
          <w:rFonts w:ascii="Times New Roman" w:hAnsi="Times New Roman"/>
          <w:b/>
          <w:sz w:val="24"/>
        </w:rPr>
        <w:t>Frontiers in Psychology</w:t>
      </w:r>
      <w:r>
        <w:rPr>
          <w:rFonts w:ascii="Times New Roman" w:hAnsi="Times New Roman"/>
          <w:i w:val="0"/>
          <w:sz w:val="24"/>
        </w:rPr>
        <w:t>, v. 13, e854208, 2022. DOI: https://doi.org/10.3389/fpsyg.2022.854208.</w:t>
      </w:r>
    </w:p>
    <w:p>
      <w:pPr>
        <w:spacing w:before="0" w:after="120" w:line="240" w:lineRule="auto"/>
        <w:ind w:left="0" w:firstLine="0"/>
        <w:jc w:val="left"/>
      </w:pPr>
      <w:r>
        <w:rPr>
          <w:rFonts w:ascii="Times New Roman" w:hAnsi="Times New Roman"/>
          <w:i w:val="0"/>
          <w:sz w:val="24"/>
        </w:rPr>
        <w:t xml:space="preserve">HOPKINS, W. G. et al. Progressive Statistics for Studies in Sports Medicine and Exercise Science. </w:t>
      </w:r>
      <w:r>
        <w:rPr>
          <w:rFonts w:ascii="Times New Roman" w:hAnsi="Times New Roman"/>
          <w:b/>
          <w:sz w:val="24"/>
        </w:rPr>
        <w:t>Medicine &amp;amp; Science in Sports &amp;amp; Exercise</w:t>
      </w:r>
      <w:r>
        <w:rPr>
          <w:rFonts w:ascii="Times New Roman" w:hAnsi="Times New Roman"/>
          <w:i w:val="0"/>
          <w:sz w:val="24"/>
        </w:rPr>
        <w:t>, v. 41, n. 1, p. 3-12, 2009. DOI: https://doi.org/10.1249/mss.0b013e31818cb278.</w:t>
      </w:r>
    </w:p>
    <w:p>
      <w:pPr>
        <w:spacing w:before="0" w:after="120" w:line="240" w:lineRule="auto"/>
        <w:ind w:left="0" w:firstLine="0"/>
        <w:jc w:val="left"/>
      </w:pPr>
      <w:r>
        <w:rPr>
          <w:rFonts w:ascii="Times New Roman" w:hAnsi="Times New Roman"/>
          <w:i w:val="0"/>
          <w:sz w:val="24"/>
        </w:rPr>
        <w:t xml:space="preserve">HYNDMAN, R. J. Moving Averages. In: </w:t>
      </w:r>
      <w:r>
        <w:rPr>
          <w:rFonts w:ascii="Times New Roman" w:hAnsi="Times New Roman"/>
          <w:b/>
          <w:sz w:val="24"/>
        </w:rPr>
        <w:t>International Encyclopedia of Statistical Science</w:t>
      </w:r>
      <w:r>
        <w:rPr>
          <w:rFonts w:ascii="Times New Roman" w:hAnsi="Times New Roman"/>
          <w:i w:val="0"/>
          <w:sz w:val="24"/>
        </w:rPr>
        <w:t>. [S. l.]: Springer Berlin Heidelberg, 2011. p. 866-869. DOI: https://doi.org/10.1007/978-3-642-04898-2_380.</w:t>
      </w:r>
    </w:p>
    <w:p>
      <w:pPr>
        <w:spacing w:before="0" w:after="120" w:line="240" w:lineRule="auto"/>
        <w:ind w:left="0" w:firstLine="0"/>
        <w:jc w:val="left"/>
      </w:pPr>
      <w:r>
        <w:rPr>
          <w:rFonts w:ascii="Times New Roman" w:hAnsi="Times New Roman"/>
          <w:i w:val="0"/>
          <w:sz w:val="24"/>
        </w:rPr>
        <w:t xml:space="preserve">IVANOVIĆ, M.; IVANOVIĆ, U. Influence of health status and loneliness on satisfaction with life, emotional dimensions, and distress in junior handball players. </w:t>
      </w:r>
      <w:r>
        <w:rPr>
          <w:rFonts w:ascii="Times New Roman" w:hAnsi="Times New Roman"/>
          <w:b/>
          <w:sz w:val="24"/>
        </w:rPr>
        <w:t>Exercise and Quality of Life</w:t>
      </w:r>
      <w:r>
        <w:rPr>
          <w:rFonts w:ascii="Times New Roman" w:hAnsi="Times New Roman"/>
          <w:i w:val="0"/>
          <w:sz w:val="24"/>
        </w:rPr>
        <w:t>, v. 15, n. 1, p. 27-35, 2023. DOI: https://doi.org/10.31382/eqol.230604.</w:t>
      </w:r>
    </w:p>
    <w:p>
      <w:pPr>
        <w:spacing w:before="0" w:after="120" w:line="240" w:lineRule="auto"/>
        <w:ind w:left="0" w:firstLine="0"/>
        <w:jc w:val="left"/>
      </w:pPr>
      <w:r>
        <w:rPr>
          <w:rFonts w:ascii="Times New Roman" w:hAnsi="Times New Roman"/>
          <w:i w:val="0"/>
          <w:sz w:val="24"/>
        </w:rPr>
        <w:t xml:space="preserve">JETZKE, M.; WINTER, C. Do we need a more flexible use of Team Timeout calling? Evidence from the Handball Bundesliga. </w:t>
      </w:r>
      <w:r>
        <w:rPr>
          <w:rFonts w:ascii="Times New Roman" w:hAnsi="Times New Roman"/>
          <w:b/>
          <w:sz w:val="24"/>
        </w:rPr>
        <w:t>Journal of Sports Sciences</w:t>
      </w:r>
      <w:r>
        <w:rPr>
          <w:rFonts w:ascii="Times New Roman" w:hAnsi="Times New Roman"/>
          <w:i w:val="0"/>
          <w:sz w:val="24"/>
        </w:rPr>
        <w:t>, v. 40, n. 8, p. 878-885, 2022. DOI: https://doi.org/10.1080/02640414.2021.2022860.</w:t>
      </w:r>
    </w:p>
    <w:p>
      <w:pPr>
        <w:spacing w:before="0" w:after="120" w:line="240" w:lineRule="auto"/>
        <w:ind w:left="0" w:firstLine="0"/>
        <w:jc w:val="left"/>
      </w:pPr>
      <w:r>
        <w:rPr>
          <w:rFonts w:ascii="Times New Roman" w:hAnsi="Times New Roman"/>
          <w:i w:val="0"/>
          <w:sz w:val="24"/>
        </w:rPr>
        <w:t xml:space="preserve">KELLMANN, M. et al. Recovery and Performance in Sport: Consensus Statement. </w:t>
      </w:r>
      <w:r>
        <w:rPr>
          <w:rFonts w:ascii="Times New Roman" w:hAnsi="Times New Roman"/>
          <w:b/>
          <w:sz w:val="24"/>
        </w:rPr>
        <w:t>International Journal of Sports Physiology and Performance</w:t>
      </w:r>
      <w:r>
        <w:rPr>
          <w:rFonts w:ascii="Times New Roman" w:hAnsi="Times New Roman"/>
          <w:i w:val="0"/>
          <w:sz w:val="24"/>
        </w:rPr>
        <w:t>, v. 13, n. 2, p. 240-245, 2018. DOI: https://doi.org/10.1123/ijspp.2017-0759.</w:t>
      </w:r>
    </w:p>
    <w:p>
      <w:pPr>
        <w:spacing w:before="0" w:after="120" w:line="240" w:lineRule="auto"/>
        <w:ind w:left="0" w:firstLine="0"/>
        <w:jc w:val="left"/>
      </w:pPr>
      <w:r>
        <w:rPr>
          <w:rFonts w:ascii="Times New Roman" w:hAnsi="Times New Roman"/>
          <w:i w:val="0"/>
          <w:sz w:val="24"/>
        </w:rPr>
        <w:t xml:space="preserve">KHAZDOZI, G.; BAHARI, S. M.; ASHAYERI, H. Effects of Warming up with Music on Moods and Training Motivation among Athletes. </w:t>
      </w:r>
      <w:r>
        <w:rPr>
          <w:rFonts w:ascii="Times New Roman" w:hAnsi="Times New Roman"/>
          <w:b/>
          <w:sz w:val="24"/>
        </w:rPr>
        <w:t>Journal of History Culture and Art Research</w:t>
      </w:r>
      <w:r>
        <w:rPr>
          <w:rFonts w:ascii="Times New Roman" w:hAnsi="Times New Roman"/>
          <w:i w:val="0"/>
          <w:sz w:val="24"/>
        </w:rPr>
        <w:t>, v. 6, n. 1, e169, 2017. DOI: https://doi.org/10.7596/taksad.v6i1.713.</w:t>
      </w:r>
    </w:p>
    <w:p>
      <w:pPr>
        <w:spacing w:before="0" w:after="120" w:line="240" w:lineRule="auto"/>
        <w:ind w:left="0" w:firstLine="0"/>
        <w:jc w:val="left"/>
      </w:pPr>
      <w:r>
        <w:rPr>
          <w:rFonts w:ascii="Times New Roman" w:hAnsi="Times New Roman"/>
          <w:i w:val="0"/>
          <w:sz w:val="24"/>
        </w:rPr>
        <w:t xml:space="preserve">LAGNER, P. et al. Mood effects on memory and executive control in a real-life situation. </w:t>
      </w:r>
      <w:r>
        <w:rPr>
          <w:rFonts w:ascii="Times New Roman" w:hAnsi="Times New Roman"/>
          <w:b/>
          <w:sz w:val="24"/>
        </w:rPr>
        <w:t>Cognition and Emotion</w:t>
      </w:r>
      <w:r>
        <w:rPr>
          <w:rFonts w:ascii="Times New Roman" w:hAnsi="Times New Roman"/>
          <w:i w:val="0"/>
          <w:sz w:val="24"/>
        </w:rPr>
        <w:t>, v. 29, n. 6, p. 1107-1116, 2015. DOI: https://doi.org/10.1080/02699931.2014.962486.</w:t>
      </w:r>
    </w:p>
    <w:p>
      <w:pPr>
        <w:spacing w:before="0" w:after="120" w:line="240" w:lineRule="auto"/>
        <w:ind w:left="0" w:firstLine="0"/>
        <w:jc w:val="left"/>
      </w:pPr>
      <w:r>
        <w:rPr>
          <w:rFonts w:ascii="Times New Roman" w:hAnsi="Times New Roman"/>
          <w:i w:val="0"/>
          <w:sz w:val="24"/>
        </w:rPr>
        <w:t xml:space="preserve">LAKICEVIC, N. et al. Rapid weight loss and mood states in judo athletes: A systematic review. </w:t>
      </w:r>
      <w:r>
        <w:rPr>
          <w:rFonts w:ascii="Times New Roman" w:hAnsi="Times New Roman"/>
          <w:b/>
          <w:sz w:val="24"/>
        </w:rPr>
        <w:t>European Review of Applied Psychology</w:t>
      </w:r>
      <w:r>
        <w:rPr>
          <w:rFonts w:ascii="Times New Roman" w:hAnsi="Times New Roman"/>
          <w:i w:val="0"/>
          <w:sz w:val="24"/>
        </w:rPr>
        <w:t>, v. 74, n. 4, e100933, 2024. DOI: https://doi.org/10.1016/j.erap.2023.100933.</w:t>
      </w:r>
    </w:p>
    <w:p>
      <w:pPr>
        <w:spacing w:before="0" w:after="120" w:line="240" w:lineRule="auto"/>
        <w:ind w:left="0" w:firstLine="0"/>
        <w:jc w:val="left"/>
      </w:pPr>
      <w:r>
        <w:rPr>
          <w:rFonts w:ascii="Times New Roman" w:hAnsi="Times New Roman"/>
          <w:i w:val="0"/>
          <w:sz w:val="24"/>
        </w:rPr>
        <w:t xml:space="preserve">LANDIS, J. R.; KOCH, G. G. The Measurement of Observer Agreement for Categorical Data. </w:t>
      </w:r>
      <w:r>
        <w:rPr>
          <w:rFonts w:ascii="Times New Roman" w:hAnsi="Times New Roman"/>
          <w:b/>
          <w:sz w:val="24"/>
        </w:rPr>
        <w:t>Biometrics</w:t>
      </w:r>
      <w:r>
        <w:rPr>
          <w:rFonts w:ascii="Times New Roman" w:hAnsi="Times New Roman"/>
          <w:i w:val="0"/>
          <w:sz w:val="24"/>
        </w:rPr>
        <w:t>, v. 33, n. 1, e159, 1977. DOI: https://doi.org/10.2307/2529310.</w:t>
      </w:r>
    </w:p>
    <w:p>
      <w:pPr>
        <w:spacing w:before="0" w:after="120" w:line="240" w:lineRule="auto"/>
        <w:ind w:left="0" w:firstLine="0"/>
        <w:jc w:val="left"/>
      </w:pPr>
      <w:r>
        <w:rPr>
          <w:rFonts w:ascii="Times New Roman" w:hAnsi="Times New Roman"/>
          <w:i w:val="0"/>
          <w:sz w:val="24"/>
        </w:rPr>
        <w:t xml:space="preserve">LANE, A. M.; TERRY, P. C. The Nature of Mood: Development of a Conceptual Model with a Focus on Depression. </w:t>
      </w:r>
      <w:r>
        <w:rPr>
          <w:rFonts w:ascii="Times New Roman" w:hAnsi="Times New Roman"/>
          <w:b/>
          <w:sz w:val="24"/>
        </w:rPr>
        <w:t>Journal of Applied Sport Psychology</w:t>
      </w:r>
      <w:r>
        <w:rPr>
          <w:rFonts w:ascii="Times New Roman" w:hAnsi="Times New Roman"/>
          <w:i w:val="0"/>
          <w:sz w:val="24"/>
        </w:rPr>
        <w:t>, v. 12, n. 1, p. 16-33, 2000. DOI: https://doi.org/10.1080/10413200008404211.</w:t>
      </w:r>
    </w:p>
    <w:p>
      <w:pPr>
        <w:spacing w:before="0" w:after="120" w:line="240" w:lineRule="auto"/>
        <w:ind w:left="0" w:firstLine="0"/>
        <w:jc w:val="left"/>
      </w:pPr>
      <w:r>
        <w:rPr>
          <w:rFonts w:ascii="Times New Roman" w:hAnsi="Times New Roman"/>
          <w:i w:val="0"/>
          <w:sz w:val="24"/>
        </w:rPr>
        <w:t xml:space="preserve">LAZARUS, R. S. How Emotions Influence Performance in Competitive Sports. </w:t>
      </w:r>
      <w:r>
        <w:rPr>
          <w:rFonts w:ascii="Times New Roman" w:hAnsi="Times New Roman"/>
          <w:b/>
          <w:sz w:val="24"/>
        </w:rPr>
        <w:t>The Sport Psychologist</w:t>
      </w:r>
      <w:r>
        <w:rPr>
          <w:rFonts w:ascii="Times New Roman" w:hAnsi="Times New Roman"/>
          <w:i w:val="0"/>
          <w:sz w:val="24"/>
        </w:rPr>
        <w:t>, v. 14, n. 3, p. 229-252, 2000. DOI: https://doi.org/10.1123/tsp.14.3.229.</w:t>
      </w:r>
    </w:p>
    <w:p>
      <w:pPr>
        <w:spacing w:before="0" w:after="120" w:line="240" w:lineRule="auto"/>
        <w:ind w:left="0" w:firstLine="0"/>
        <w:jc w:val="left"/>
      </w:pPr>
      <w:r>
        <w:rPr>
          <w:rFonts w:ascii="Times New Roman" w:hAnsi="Times New Roman"/>
          <w:i w:val="0"/>
          <w:sz w:val="24"/>
        </w:rPr>
        <w:t xml:space="preserve">LISENCHUK, G. et al. Analysis of psychological state of qualified female handball players depending on the phase of the ovarian-menstrual cycle. </w:t>
      </w:r>
      <w:r>
        <w:rPr>
          <w:rFonts w:ascii="Times New Roman" w:hAnsi="Times New Roman"/>
          <w:b/>
          <w:sz w:val="24"/>
        </w:rPr>
        <w:t>Journal of Physical Education and Sport</w:t>
      </w:r>
      <w:r>
        <w:rPr>
          <w:rFonts w:ascii="Times New Roman" w:hAnsi="Times New Roman"/>
          <w:i w:val="0"/>
          <w:sz w:val="24"/>
        </w:rPr>
        <w:t>, v. 19, supl. 3, art. 115, p. 808-812, 2019. DOI: https://doi.org/10.7752/jpes.2019.s3115.</w:t>
      </w:r>
    </w:p>
    <w:p>
      <w:pPr>
        <w:spacing w:before="0" w:after="120" w:line="240" w:lineRule="auto"/>
        <w:ind w:left="0" w:firstLine="0"/>
        <w:jc w:val="left"/>
      </w:pPr>
      <w:r>
        <w:rPr>
          <w:rFonts w:ascii="Times New Roman" w:hAnsi="Times New Roman"/>
          <w:i w:val="0"/>
          <w:sz w:val="24"/>
        </w:rPr>
        <w:t xml:space="preserve">LOCHBAUM, M. et al. The Profile of Moods States and Athletic Performance: A Meta-Analysis of Published Studies. </w:t>
      </w:r>
      <w:r>
        <w:rPr>
          <w:rFonts w:ascii="Times New Roman" w:hAnsi="Times New Roman"/>
          <w:b/>
          <w:sz w:val="24"/>
        </w:rPr>
        <w:t>European Journal of Investigation in Health, Psychology and Education</w:t>
      </w:r>
      <w:r>
        <w:rPr>
          <w:rFonts w:ascii="Times New Roman" w:hAnsi="Times New Roman"/>
          <w:i w:val="0"/>
          <w:sz w:val="24"/>
        </w:rPr>
        <w:t>, v. 11, n. 1, p. 50-70, 2021. DOI: https://doi.org/10.3390/ejihpe11010005.</w:t>
      </w:r>
    </w:p>
    <w:p>
      <w:pPr>
        <w:spacing w:before="0" w:after="120" w:line="240" w:lineRule="auto"/>
        <w:ind w:left="0" w:firstLine="0"/>
        <w:jc w:val="left"/>
      </w:pPr>
      <w:r>
        <w:rPr>
          <w:rFonts w:ascii="Times New Roman" w:hAnsi="Times New Roman"/>
          <w:i w:val="0"/>
          <w:sz w:val="24"/>
        </w:rPr>
        <w:t xml:space="preserve">LUJIC, M.; PRSKALO, I.; BRATKO, D. difference in well-being between handball players and ones not physically active. </w:t>
      </w:r>
      <w:r>
        <w:rPr>
          <w:rFonts w:ascii="Times New Roman" w:hAnsi="Times New Roman"/>
          <w:b/>
          <w:sz w:val="24"/>
        </w:rPr>
        <w:t>Scientific Journal of Sport and Performance</w:t>
      </w:r>
      <w:r>
        <w:rPr>
          <w:rFonts w:ascii="Times New Roman" w:hAnsi="Times New Roman"/>
          <w:i w:val="0"/>
          <w:sz w:val="24"/>
        </w:rPr>
        <w:t>, v. 2, n. 2, p. 144-150, 2023. DOI: https://doi.org/10.55860/fhsl7752.</w:t>
      </w:r>
    </w:p>
    <w:p>
      <w:pPr>
        <w:spacing w:before="0" w:after="120" w:line="240" w:lineRule="auto"/>
        <w:ind w:left="0" w:firstLine="0"/>
        <w:jc w:val="left"/>
      </w:pPr>
      <w:r>
        <w:rPr>
          <w:rFonts w:ascii="Times New Roman" w:hAnsi="Times New Roman"/>
          <w:i w:val="0"/>
          <w:sz w:val="24"/>
        </w:rPr>
        <w:t xml:space="preserve">MACEDO, L. et al. Playing without goalkeeper: the use of an empty goal in high-performance men’s handball. </w:t>
      </w:r>
      <w:r>
        <w:rPr>
          <w:rFonts w:ascii="Times New Roman" w:hAnsi="Times New Roman"/>
          <w:b/>
          <w:sz w:val="24"/>
        </w:rPr>
        <w:t>International Journal of Performance Analysis in Sport</w:t>
      </w:r>
      <w:r>
        <w:rPr>
          <w:rFonts w:ascii="Times New Roman" w:hAnsi="Times New Roman"/>
          <w:i w:val="0"/>
          <w:sz w:val="24"/>
        </w:rPr>
        <w:t>, v. 25, n. 6, p. 1189-1207, 2025. DOI: https://doi.org/10.1080/24748668.2024.2354109.</w:t>
      </w:r>
    </w:p>
    <w:p>
      <w:pPr>
        <w:spacing w:before="0" w:after="120" w:line="240" w:lineRule="auto"/>
        <w:ind w:left="0" w:firstLine="0"/>
        <w:jc w:val="left"/>
      </w:pPr>
      <w:r>
        <w:rPr>
          <w:rFonts w:ascii="Times New Roman" w:hAnsi="Times New Roman"/>
          <w:i w:val="0"/>
          <w:sz w:val="24"/>
        </w:rPr>
        <w:t xml:space="preserve">MCHUGH, M. L. Interrater reliability: the kappa statistic. </w:t>
      </w:r>
      <w:r>
        <w:rPr>
          <w:rFonts w:ascii="Times New Roman" w:hAnsi="Times New Roman"/>
          <w:b/>
          <w:sz w:val="24"/>
        </w:rPr>
        <w:t>Biochemia Medica</w:t>
      </w:r>
      <w:r>
        <w:rPr>
          <w:rFonts w:ascii="Times New Roman" w:hAnsi="Times New Roman"/>
          <w:i w:val="0"/>
          <w:sz w:val="24"/>
        </w:rPr>
        <w:t>, p. 276-282, 2012. DOI: https://doi.org/10.11613/bm.2012.031.</w:t>
      </w:r>
    </w:p>
    <w:p>
      <w:pPr>
        <w:spacing w:before="0" w:after="120" w:line="240" w:lineRule="auto"/>
        <w:ind w:left="0" w:firstLine="0"/>
        <w:jc w:val="left"/>
      </w:pPr>
      <w:r>
        <w:rPr>
          <w:rFonts w:ascii="Times New Roman" w:hAnsi="Times New Roman"/>
          <w:i w:val="0"/>
          <w:sz w:val="24"/>
        </w:rPr>
        <w:t xml:space="preserve">MEYERS, S.; TAMIR, M. Emotion Regulation Versus Mood Regulation. </w:t>
      </w:r>
      <w:r>
        <w:rPr>
          <w:rFonts w:ascii="Times New Roman" w:hAnsi="Times New Roman"/>
          <w:b/>
          <w:sz w:val="24"/>
        </w:rPr>
        <w:t>Emotion Review</w:t>
      </w:r>
      <w:r>
        <w:rPr>
          <w:rFonts w:ascii="Times New Roman" w:hAnsi="Times New Roman"/>
          <w:i w:val="0"/>
          <w:sz w:val="24"/>
        </w:rPr>
        <w:t>, v. 16, n. 3, p. 151-161, 2024. DOI: https://doi.org/10.1177/17540739241259559.</w:t>
      </w:r>
    </w:p>
    <w:p>
      <w:pPr>
        <w:spacing w:before="0" w:after="120" w:line="240" w:lineRule="auto"/>
        <w:ind w:left="0" w:firstLine="0"/>
        <w:jc w:val="left"/>
      </w:pPr>
      <w:r>
        <w:rPr>
          <w:rFonts w:ascii="Times New Roman" w:hAnsi="Times New Roman"/>
          <w:i w:val="0"/>
          <w:sz w:val="24"/>
        </w:rPr>
        <w:t xml:space="preserve">MICHALSIK, L.; AAGAARD, P.; MADSEN, K. Locomotion Characteristics and Match-Induced Impairments in Physical Performance in Male Elite Team Handball Players. </w:t>
      </w:r>
      <w:r>
        <w:rPr>
          <w:rFonts w:ascii="Times New Roman" w:hAnsi="Times New Roman"/>
          <w:b/>
          <w:sz w:val="24"/>
        </w:rPr>
        <w:t>International Journal of Sports Medicine</w:t>
      </w:r>
      <w:r>
        <w:rPr>
          <w:rFonts w:ascii="Times New Roman" w:hAnsi="Times New Roman"/>
          <w:i w:val="0"/>
          <w:sz w:val="24"/>
        </w:rPr>
        <w:t>, v. 34, n. 07, p. 590-599, 2012. DOI: https://doi.org/10.1055/s-0032-1329989.</w:t>
      </w:r>
    </w:p>
    <w:p>
      <w:pPr>
        <w:spacing w:before="0" w:after="120" w:line="240" w:lineRule="auto"/>
        <w:ind w:left="0" w:firstLine="0"/>
        <w:jc w:val="left"/>
      </w:pPr>
      <w:r>
        <w:rPr>
          <w:rFonts w:ascii="Times New Roman" w:hAnsi="Times New Roman"/>
          <w:i w:val="0"/>
          <w:sz w:val="24"/>
        </w:rPr>
        <w:t xml:space="preserve">MIRALLES-AMORÓS, L. et al. Study of Different Personalised Dietary Plans on Eating Behaviour, Body Image and Mood in Young Female Professional Handball Players: A Randomised Controlled Trial. </w:t>
      </w:r>
      <w:r>
        <w:rPr>
          <w:rFonts w:ascii="Times New Roman" w:hAnsi="Times New Roman"/>
          <w:b/>
          <w:sz w:val="24"/>
        </w:rPr>
        <w:t>Children</w:t>
      </w:r>
      <w:r>
        <w:rPr>
          <w:rFonts w:ascii="Times New Roman" w:hAnsi="Times New Roman"/>
          <w:i w:val="0"/>
          <w:sz w:val="24"/>
        </w:rPr>
        <w:t>, v. 10, n. 2, e259, 2023. DOI: https://doi.org/10.3390/children10020259.</w:t>
      </w:r>
    </w:p>
    <w:p>
      <w:pPr>
        <w:spacing w:before="0" w:after="120" w:line="240" w:lineRule="auto"/>
        <w:ind w:left="0" w:firstLine="0"/>
        <w:jc w:val="left"/>
      </w:pPr>
      <w:r>
        <w:rPr>
          <w:rFonts w:ascii="Times New Roman" w:hAnsi="Times New Roman"/>
          <w:i w:val="0"/>
          <w:sz w:val="24"/>
        </w:rPr>
        <w:t xml:space="preserve">MON-LÓPEZ, D. et al. The Impact of Covid-19 and the Effect of Psychological Factors on Training Conditions of Handball Players. </w:t>
      </w:r>
      <w:r>
        <w:rPr>
          <w:rFonts w:ascii="Times New Roman" w:hAnsi="Times New Roman"/>
          <w:b/>
          <w:sz w:val="24"/>
        </w:rPr>
        <w:t>International Journal of Environmental Research and Public Health</w:t>
      </w:r>
      <w:r>
        <w:rPr>
          <w:rFonts w:ascii="Times New Roman" w:hAnsi="Times New Roman"/>
          <w:i w:val="0"/>
          <w:sz w:val="24"/>
        </w:rPr>
        <w:t>, v. 17, n. 18, e6471, 2020. DOI: https://doi.org/10.3390/ijerph17186471.</w:t>
      </w:r>
    </w:p>
    <w:p>
      <w:pPr>
        <w:spacing w:before="0" w:after="120" w:line="240" w:lineRule="auto"/>
        <w:ind w:left="0" w:firstLine="0"/>
        <w:jc w:val="left"/>
      </w:pPr>
      <w:r>
        <w:rPr>
          <w:rFonts w:ascii="Times New Roman" w:hAnsi="Times New Roman"/>
          <w:i w:val="0"/>
          <w:sz w:val="24"/>
        </w:rPr>
        <w:t xml:space="preserve">MONTES, F. A.; GOMES, S. C. Correlação entre resistência anaeróbia e estados de humor ao longo de uma temporada na modalidade handebol. </w:t>
      </w:r>
      <w:r>
        <w:rPr>
          <w:rFonts w:ascii="Times New Roman" w:hAnsi="Times New Roman"/>
          <w:b/>
          <w:sz w:val="24"/>
        </w:rPr>
        <w:t>UNOPAR Científica Ciências Biológicas e da Saúde</w:t>
      </w:r>
      <w:r>
        <w:rPr>
          <w:rFonts w:ascii="Times New Roman" w:hAnsi="Times New Roman"/>
          <w:i w:val="0"/>
          <w:sz w:val="24"/>
        </w:rPr>
        <w:t>, v. 16, n. 2, p. 83-86, 2014.</w:t>
      </w:r>
    </w:p>
    <w:p>
      <w:pPr>
        <w:spacing w:before="0" w:after="120" w:line="240" w:lineRule="auto"/>
        <w:ind w:left="0" w:firstLine="0"/>
        <w:jc w:val="left"/>
      </w:pPr>
      <w:r>
        <w:rPr>
          <w:rFonts w:ascii="Times New Roman" w:hAnsi="Times New Roman"/>
          <w:i w:val="0"/>
          <w:sz w:val="24"/>
        </w:rPr>
        <w:t xml:space="preserve">MORENAS-AGUILAR, M. et al. The menstrual cycle does not influence vertical jump performance or throwing velocity in amateur team handball players. </w:t>
      </w:r>
      <w:r>
        <w:rPr>
          <w:rFonts w:ascii="Times New Roman" w:hAnsi="Times New Roman"/>
          <w:b/>
          <w:sz w:val="24"/>
        </w:rPr>
        <w:t>Science &amp;amp; Sports</w:t>
      </w:r>
      <w:r>
        <w:rPr>
          <w:rFonts w:ascii="Times New Roman" w:hAnsi="Times New Roman"/>
          <w:i w:val="0"/>
          <w:sz w:val="24"/>
        </w:rPr>
        <w:t>, v. 38, n. 2, p. 211-215, 2023. DOI: https://doi.org/10.1016/j.scispo.2022.02.008.</w:t>
      </w:r>
    </w:p>
    <w:p>
      <w:pPr>
        <w:spacing w:before="0" w:after="120" w:line="240" w:lineRule="auto"/>
        <w:ind w:left="0" w:firstLine="0"/>
        <w:jc w:val="left"/>
      </w:pPr>
      <w:r>
        <w:rPr>
          <w:rFonts w:ascii="Times New Roman" w:hAnsi="Times New Roman"/>
          <w:i w:val="0"/>
          <w:sz w:val="24"/>
        </w:rPr>
        <w:t xml:space="preserve">MORGAN, W. P. et al. Psychological monitoring of overtraining and staleness. </w:t>
      </w:r>
      <w:r>
        <w:rPr>
          <w:rFonts w:ascii="Times New Roman" w:hAnsi="Times New Roman"/>
          <w:b/>
          <w:sz w:val="24"/>
        </w:rPr>
        <w:t>British Journal of Sports Medicine</w:t>
      </w:r>
      <w:r>
        <w:rPr>
          <w:rFonts w:ascii="Times New Roman" w:hAnsi="Times New Roman"/>
          <w:i w:val="0"/>
          <w:sz w:val="24"/>
        </w:rPr>
        <w:t>, v. 21, n. 3, p. 107-114, 1987. DOI: https://doi.org/10.1136/bjsm.21.3.107.</w:t>
      </w:r>
    </w:p>
    <w:p>
      <w:pPr>
        <w:spacing w:before="0" w:after="120" w:line="240" w:lineRule="auto"/>
        <w:ind w:left="0" w:firstLine="0"/>
        <w:jc w:val="left"/>
      </w:pPr>
      <w:r>
        <w:rPr>
          <w:rFonts w:ascii="Times New Roman" w:hAnsi="Times New Roman"/>
          <w:i w:val="0"/>
          <w:sz w:val="24"/>
        </w:rPr>
        <w:t xml:space="preserve">MUNN, Z. et al. Systematic review or scoping review? Guidance for authors when choosing between a systematic or scoping review approach. </w:t>
      </w:r>
      <w:r>
        <w:rPr>
          <w:rFonts w:ascii="Times New Roman" w:hAnsi="Times New Roman"/>
          <w:b/>
          <w:sz w:val="24"/>
        </w:rPr>
        <w:t>BMC Medical Research Methodology</w:t>
      </w:r>
      <w:r>
        <w:rPr>
          <w:rFonts w:ascii="Times New Roman" w:hAnsi="Times New Roman"/>
          <w:i w:val="0"/>
          <w:sz w:val="24"/>
        </w:rPr>
        <w:t>, v. 18, n. 1, e143, 2018a. DOI: https://doi.org/10.1186/s12874-018-0611-x.</w:t>
      </w:r>
    </w:p>
    <w:p>
      <w:pPr>
        <w:spacing w:before="0" w:after="120" w:line="240" w:lineRule="auto"/>
        <w:ind w:left="0" w:firstLine="0"/>
        <w:jc w:val="left"/>
      </w:pPr>
      <w:r>
        <w:rPr>
          <w:rFonts w:ascii="Times New Roman" w:hAnsi="Times New Roman"/>
          <w:i w:val="0"/>
          <w:sz w:val="24"/>
        </w:rPr>
        <w:t xml:space="preserve">MUNN, Z. et al. What kind of systematic review should I conduct? A proposed typology and guidance for systematic reviewers in the medical and health sciences. </w:t>
      </w:r>
      <w:r>
        <w:rPr>
          <w:rFonts w:ascii="Times New Roman" w:hAnsi="Times New Roman"/>
          <w:b/>
          <w:sz w:val="24"/>
        </w:rPr>
        <w:t>BMC Medical Research Methodology</w:t>
      </w:r>
      <w:r>
        <w:rPr>
          <w:rFonts w:ascii="Times New Roman" w:hAnsi="Times New Roman"/>
          <w:i w:val="0"/>
          <w:sz w:val="24"/>
        </w:rPr>
        <w:t>, v. 18, n. 1, e5, 2018b. DOI: https://doi.org/10.1186/s12874-017-0468-4.</w:t>
      </w:r>
    </w:p>
    <w:p>
      <w:pPr>
        <w:spacing w:before="0" w:after="120" w:line="240" w:lineRule="auto"/>
        <w:ind w:left="0" w:firstLine="0"/>
        <w:jc w:val="left"/>
      </w:pPr>
      <w:r>
        <w:rPr>
          <w:rFonts w:ascii="Times New Roman" w:hAnsi="Times New Roman"/>
          <w:i w:val="0"/>
          <w:sz w:val="24"/>
        </w:rPr>
        <w:t xml:space="preserve">NUGRAHA, E.; WIBOWO, R.; FIRMANSYAH, H. Mood states and game performance in invasion game activities: a correlation study among elementary school students. </w:t>
      </w:r>
      <w:r>
        <w:rPr>
          <w:rFonts w:ascii="Times New Roman" w:hAnsi="Times New Roman"/>
          <w:i/>
          <w:sz w:val="24"/>
        </w:rPr>
        <w:t>In</w:t>
      </w:r>
      <w:r>
        <w:rPr>
          <w:rFonts w:ascii="Times New Roman" w:hAnsi="Times New Roman"/>
          <w:i w:val="0"/>
          <w:sz w:val="24"/>
        </w:rPr>
        <w:t xml:space="preserve">: INTERNATIONAL CONFERENCE ON SPORT SCIENCE, HEALTH, AND PHYSICAL EDUCATION, 4., 2019, Bandung. </w:t>
      </w:r>
      <w:r>
        <w:rPr>
          <w:rFonts w:ascii="Times New Roman" w:hAnsi="Times New Roman"/>
          <w:b/>
          <w:sz w:val="24"/>
        </w:rPr>
        <w:t>Proceedings</w:t>
      </w:r>
      <w:r>
        <w:rPr>
          <w:rFonts w:ascii="Times New Roman" w:hAnsi="Times New Roman"/>
          <w:i w:val="0"/>
          <w:sz w:val="24"/>
        </w:rPr>
        <w:t xml:space="preserve"> [...]. Paris: Atlantis Press, 2020. p. 95-98. DOI: https://doi.org/10.2991/ahsr.k.200214.027.</w:t>
      </w:r>
    </w:p>
    <w:p>
      <w:pPr>
        <w:spacing w:before="0" w:after="120" w:line="240" w:lineRule="auto"/>
        <w:ind w:left="0" w:firstLine="0"/>
        <w:jc w:val="left"/>
      </w:pPr>
      <w:r>
        <w:rPr>
          <w:rFonts w:ascii="Times New Roman" w:hAnsi="Times New Roman"/>
          <w:i w:val="0"/>
          <w:sz w:val="24"/>
        </w:rPr>
        <w:t xml:space="preserve">OBREGÓN SIBÓN, I. et al. Cambios postest en el umbral mecánico nociceptivo de la musculatura del hombro y en el estado de ánimo en jugadores de balonmano. </w:t>
      </w:r>
      <w:r>
        <w:rPr>
          <w:rFonts w:ascii="Times New Roman" w:hAnsi="Times New Roman"/>
          <w:b/>
          <w:sz w:val="24"/>
        </w:rPr>
        <w:t>Cuestiones de Fisioterapia</w:t>
      </w:r>
      <w:r>
        <w:rPr>
          <w:rFonts w:ascii="Times New Roman" w:hAnsi="Times New Roman"/>
          <w:i w:val="0"/>
          <w:sz w:val="24"/>
        </w:rPr>
        <w:t>, v. 46, n. 3, p. 183-191, 2017. Disponível em: https://dialnet.unirioja.es/servlet/articulo?codigo=6263341. Acesso em: 21 out. 2026.</w:t>
      </w:r>
    </w:p>
    <w:p>
      <w:pPr>
        <w:spacing w:before="0" w:after="120" w:line="240" w:lineRule="auto"/>
        <w:ind w:left="0" w:firstLine="0"/>
        <w:jc w:val="left"/>
      </w:pPr>
      <w:r>
        <w:rPr>
          <w:rFonts w:ascii="Times New Roman" w:hAnsi="Times New Roman"/>
          <w:i w:val="0"/>
          <w:sz w:val="24"/>
        </w:rPr>
        <w:t xml:space="preserve">OUZZANI, M. et al. Rayyan—a web and mobile app for systematic reviews. </w:t>
      </w:r>
      <w:r>
        <w:rPr>
          <w:rFonts w:ascii="Times New Roman" w:hAnsi="Times New Roman"/>
          <w:b/>
          <w:sz w:val="24"/>
        </w:rPr>
        <w:t>Systematic Reviews</w:t>
      </w:r>
      <w:r>
        <w:rPr>
          <w:rFonts w:ascii="Times New Roman" w:hAnsi="Times New Roman"/>
          <w:i w:val="0"/>
          <w:sz w:val="24"/>
        </w:rPr>
        <w:t>, v. 5, n. 1, e210, 2016. DOI: https://doi.org/10.1186/s13643-016-0384-4.</w:t>
      </w:r>
    </w:p>
    <w:p>
      <w:pPr>
        <w:spacing w:before="0" w:after="120" w:line="240" w:lineRule="auto"/>
        <w:ind w:left="0" w:firstLine="0"/>
        <w:jc w:val="left"/>
      </w:pPr>
      <w:r>
        <w:rPr>
          <w:rFonts w:ascii="Times New Roman" w:hAnsi="Times New Roman"/>
          <w:i w:val="0"/>
          <w:sz w:val="24"/>
        </w:rPr>
        <w:t xml:space="preserve">PADILHAS, O. P. et al. Inter season physiological control of the brazilian beach handball team. </w:t>
      </w:r>
      <w:r>
        <w:rPr>
          <w:rFonts w:ascii="Times New Roman" w:hAnsi="Times New Roman"/>
          <w:b/>
          <w:sz w:val="24"/>
        </w:rPr>
        <w:t>Revista Brasileira de Medicina do Esporte</w:t>
      </w:r>
      <w:r>
        <w:rPr>
          <w:rFonts w:ascii="Times New Roman" w:hAnsi="Times New Roman"/>
          <w:i w:val="0"/>
          <w:sz w:val="24"/>
        </w:rPr>
        <w:t>, v. 24, n. 6, p. 436-439, 2018. DOI: https://doi.org/10.1590/1517-869220182406153471.</w:t>
      </w:r>
    </w:p>
    <w:p>
      <w:pPr>
        <w:spacing w:before="0" w:after="120" w:line="240" w:lineRule="auto"/>
        <w:ind w:left="0" w:firstLine="0"/>
        <w:jc w:val="left"/>
      </w:pPr>
      <w:r>
        <w:rPr>
          <w:rFonts w:ascii="Times New Roman" w:hAnsi="Times New Roman"/>
          <w:i w:val="0"/>
          <w:sz w:val="24"/>
        </w:rPr>
        <w:t xml:space="preserve">PAGE, M. J. et al. The PRISMA 2020 statement: an updated guideline for reporting systematic reviews. </w:t>
      </w:r>
      <w:r>
        <w:rPr>
          <w:rFonts w:ascii="Times New Roman" w:hAnsi="Times New Roman"/>
          <w:b/>
          <w:sz w:val="24"/>
        </w:rPr>
        <w:t>BMJ</w:t>
      </w:r>
      <w:r>
        <w:rPr>
          <w:rFonts w:ascii="Times New Roman" w:hAnsi="Times New Roman"/>
          <w:i w:val="0"/>
          <w:sz w:val="24"/>
        </w:rPr>
        <w:t>, n71, 2021. DOI: https://doi.org/10.1136/bmj.n71.</w:t>
      </w:r>
    </w:p>
    <w:p>
      <w:pPr>
        <w:spacing w:before="0" w:after="120" w:line="240" w:lineRule="auto"/>
        <w:ind w:left="0" w:firstLine="0"/>
        <w:jc w:val="left"/>
      </w:pPr>
      <w:r>
        <w:rPr>
          <w:rFonts w:ascii="Times New Roman" w:hAnsi="Times New Roman"/>
          <w:i w:val="0"/>
          <w:sz w:val="24"/>
        </w:rPr>
        <w:t xml:space="preserve">PARSONS-SMITH, R. L.; TERRY, P. C.; MACHIN, M. A. Identification and Description of Novel Mood Profile Clusters. </w:t>
      </w:r>
      <w:r>
        <w:rPr>
          <w:rFonts w:ascii="Times New Roman" w:hAnsi="Times New Roman"/>
          <w:b/>
          <w:sz w:val="24"/>
        </w:rPr>
        <w:t>Frontiers in Psychology</w:t>
      </w:r>
      <w:r>
        <w:rPr>
          <w:rFonts w:ascii="Times New Roman" w:hAnsi="Times New Roman"/>
          <w:i w:val="0"/>
          <w:sz w:val="24"/>
        </w:rPr>
        <w:t>, v. 8, e1958, 2017. DOI: https://doi.org/10.3389/fpsyg.2017.01958.</w:t>
      </w:r>
    </w:p>
    <w:p>
      <w:pPr>
        <w:spacing w:before="0" w:after="120" w:line="240" w:lineRule="auto"/>
        <w:ind w:left="0" w:firstLine="0"/>
        <w:jc w:val="left"/>
      </w:pPr>
      <w:r>
        <w:rPr>
          <w:rFonts w:ascii="Times New Roman" w:hAnsi="Times New Roman"/>
          <w:i w:val="0"/>
          <w:sz w:val="24"/>
        </w:rPr>
        <w:t xml:space="preserve">PEREIRA, R. et al. Avaliação do Estado Fisiológico de Escolares Atletas. </w:t>
      </w:r>
      <w:r>
        <w:rPr>
          <w:rFonts w:ascii="Times New Roman" w:hAnsi="Times New Roman"/>
          <w:b/>
          <w:sz w:val="24"/>
        </w:rPr>
        <w:t>Revista Brasileira de Ciências da Saúde</w:t>
      </w:r>
      <w:r>
        <w:rPr>
          <w:rFonts w:ascii="Times New Roman" w:hAnsi="Times New Roman"/>
          <w:i w:val="0"/>
          <w:sz w:val="24"/>
        </w:rPr>
        <w:t>, v. 18, n. S4, p. 75-82, 2014. DOI: https://doi.org/10.4034/RBCS.2014.18.S4.10.</w:t>
      </w:r>
    </w:p>
    <w:p>
      <w:pPr>
        <w:spacing w:before="0" w:after="120" w:line="240" w:lineRule="auto"/>
        <w:ind w:left="0" w:firstLine="0"/>
        <w:jc w:val="left"/>
      </w:pPr>
      <w:r>
        <w:rPr>
          <w:rFonts w:ascii="Times New Roman" w:hAnsi="Times New Roman"/>
          <w:i w:val="0"/>
          <w:sz w:val="24"/>
        </w:rPr>
        <w:t xml:space="preserve">PETERS, M. D. et al. Updated methodological guidance for the conduct of scoping reviews. </w:t>
      </w:r>
      <w:r>
        <w:rPr>
          <w:rFonts w:ascii="Times New Roman" w:hAnsi="Times New Roman"/>
          <w:b/>
          <w:sz w:val="24"/>
        </w:rPr>
        <w:t>JBI Evidence Synthesis</w:t>
      </w:r>
      <w:r>
        <w:rPr>
          <w:rFonts w:ascii="Times New Roman" w:hAnsi="Times New Roman"/>
          <w:i w:val="0"/>
          <w:sz w:val="24"/>
        </w:rPr>
        <w:t>, v. 18, n. 10, p. 2119-2126, 2020. DOI: https://doi.org/10.11124/jbies-20-00167.</w:t>
      </w:r>
    </w:p>
    <w:p>
      <w:pPr>
        <w:spacing w:before="0" w:after="120" w:line="240" w:lineRule="auto"/>
        <w:ind w:left="0" w:firstLine="0"/>
        <w:jc w:val="left"/>
      </w:pPr>
      <w:r>
        <w:rPr>
          <w:rFonts w:ascii="Times New Roman" w:hAnsi="Times New Roman"/>
          <w:i w:val="0"/>
          <w:sz w:val="24"/>
        </w:rPr>
        <w:t xml:space="preserve">PÓVOAS, S. C. et al. Physical and Physiological Demands of Elite Team Handball. </w:t>
      </w:r>
      <w:r>
        <w:rPr>
          <w:rFonts w:ascii="Times New Roman" w:hAnsi="Times New Roman"/>
          <w:b/>
          <w:sz w:val="24"/>
        </w:rPr>
        <w:t>Journal of Strength and Conditioning Research</w:t>
      </w:r>
      <w:r>
        <w:rPr>
          <w:rFonts w:ascii="Times New Roman" w:hAnsi="Times New Roman"/>
          <w:i w:val="0"/>
          <w:sz w:val="24"/>
        </w:rPr>
        <w:t>, v. 26, n. 12, p. 3365-3375, 2012. DOI: https://doi.org/10.1519/jsc.0b013e318248aeee.</w:t>
      </w:r>
    </w:p>
    <w:p>
      <w:pPr>
        <w:spacing w:before="0" w:after="120" w:line="240" w:lineRule="auto"/>
        <w:ind w:left="0" w:firstLine="0"/>
        <w:jc w:val="left"/>
      </w:pPr>
      <w:r>
        <w:rPr>
          <w:rFonts w:ascii="Times New Roman" w:hAnsi="Times New Roman"/>
          <w:i w:val="0"/>
          <w:sz w:val="24"/>
        </w:rPr>
        <w:t xml:space="preserve">RAAB, M.; JOHNSON, J. G. Expertise-based differences in search and option-generation strategies. </w:t>
      </w:r>
      <w:r>
        <w:rPr>
          <w:rFonts w:ascii="Times New Roman" w:hAnsi="Times New Roman"/>
          <w:b/>
          <w:sz w:val="24"/>
        </w:rPr>
        <w:t>Journal of Experimental Psychology: Applied</w:t>
      </w:r>
      <w:r>
        <w:rPr>
          <w:rFonts w:ascii="Times New Roman" w:hAnsi="Times New Roman"/>
          <w:i w:val="0"/>
          <w:sz w:val="24"/>
        </w:rPr>
        <w:t>, v. 13, n. 3, p. 158-170, 2007. DOI: https://doi.org/10.1037/1076-898x.13.3.158.</w:t>
      </w:r>
    </w:p>
    <w:p>
      <w:pPr>
        <w:spacing w:before="0" w:after="120" w:line="240" w:lineRule="auto"/>
        <w:ind w:left="0" w:firstLine="0"/>
        <w:jc w:val="left"/>
      </w:pPr>
      <w:r>
        <w:rPr>
          <w:rFonts w:ascii="Times New Roman" w:hAnsi="Times New Roman"/>
          <w:i w:val="0"/>
          <w:sz w:val="24"/>
        </w:rPr>
        <w:t xml:space="preserve">RAGLIN, J. S. Psychological Factors in Sport Performance. </w:t>
      </w:r>
      <w:r>
        <w:rPr>
          <w:rFonts w:ascii="Times New Roman" w:hAnsi="Times New Roman"/>
          <w:b/>
          <w:sz w:val="24"/>
        </w:rPr>
        <w:t>Sports Medicine</w:t>
      </w:r>
      <w:r>
        <w:rPr>
          <w:rFonts w:ascii="Times New Roman" w:hAnsi="Times New Roman"/>
          <w:i w:val="0"/>
          <w:sz w:val="24"/>
        </w:rPr>
        <w:t>, v. 31, n. 12, p. 875-890, 2001. DOI: https://doi.org/10.2165/00007256-200131120-00004.</w:t>
      </w:r>
    </w:p>
    <w:p>
      <w:pPr>
        <w:spacing w:before="0" w:after="120" w:line="240" w:lineRule="auto"/>
        <w:ind w:left="0" w:firstLine="0"/>
        <w:jc w:val="left"/>
      </w:pPr>
      <w:r>
        <w:rPr>
          <w:rFonts w:ascii="Times New Roman" w:hAnsi="Times New Roman"/>
          <w:i w:val="0"/>
          <w:sz w:val="24"/>
        </w:rPr>
        <w:t xml:space="preserve">RATZ-SULYOK, F. Z. et al. Associations Between Endocrine Status and Stress, Mood and Psychosomatic Status in Elite Handball Players. </w:t>
      </w:r>
      <w:r>
        <w:rPr>
          <w:rFonts w:ascii="Times New Roman" w:hAnsi="Times New Roman"/>
          <w:b/>
          <w:sz w:val="24"/>
        </w:rPr>
        <w:t>Sports</w:t>
      </w:r>
      <w:r>
        <w:rPr>
          <w:rFonts w:ascii="Times New Roman" w:hAnsi="Times New Roman"/>
          <w:i w:val="0"/>
          <w:sz w:val="24"/>
        </w:rPr>
        <w:t>, v. 14, n. 7, e289, 2026a. DOI: https://doi.org/10.3390/sports14070289.</w:t>
      </w:r>
    </w:p>
    <w:p>
      <w:pPr>
        <w:spacing w:before="0" w:after="120" w:line="240" w:lineRule="auto"/>
        <w:ind w:left="0" w:firstLine="0"/>
        <w:jc w:val="left"/>
      </w:pPr>
      <w:r>
        <w:rPr>
          <w:rFonts w:ascii="Times New Roman" w:hAnsi="Times New Roman"/>
          <w:i w:val="0"/>
          <w:sz w:val="24"/>
        </w:rPr>
        <w:t xml:space="preserve">RATZ-SULYOK, F. Z. et al. Stress and sex hormone changes of young elite handball players in relation to their mood profiles. </w:t>
      </w:r>
      <w:r>
        <w:rPr>
          <w:rFonts w:ascii="Times New Roman" w:hAnsi="Times New Roman"/>
          <w:b/>
          <w:sz w:val="24"/>
        </w:rPr>
        <w:t>Anthropologiai Közlemények</w:t>
      </w:r>
      <w:r>
        <w:rPr>
          <w:rFonts w:ascii="Times New Roman" w:hAnsi="Times New Roman"/>
          <w:i w:val="0"/>
          <w:sz w:val="24"/>
        </w:rPr>
        <w:t>, n. 67, supl., p. 108, 2026. Resumo. DOI: https://doi.org/10.20330/anthropkozl.2026.67s.108.</w:t>
      </w:r>
    </w:p>
    <w:p>
      <w:pPr>
        <w:spacing w:before="0" w:after="120" w:line="240" w:lineRule="auto"/>
        <w:ind w:left="0" w:firstLine="0"/>
        <w:jc w:val="left"/>
      </w:pPr>
      <w:r>
        <w:rPr>
          <w:rFonts w:ascii="Times New Roman" w:hAnsi="Times New Roman"/>
          <w:i w:val="0"/>
          <w:sz w:val="24"/>
        </w:rPr>
        <w:t xml:space="preserve">REARDON, C. L. et al. Mental health in elite athletes: International Olympic Committee consensus statement (2019). </w:t>
      </w:r>
      <w:r>
        <w:rPr>
          <w:rFonts w:ascii="Times New Roman" w:hAnsi="Times New Roman"/>
          <w:b/>
          <w:sz w:val="24"/>
        </w:rPr>
        <w:t>British Journal of Sports Medicine</w:t>
      </w:r>
      <w:r>
        <w:rPr>
          <w:rFonts w:ascii="Times New Roman" w:hAnsi="Times New Roman"/>
          <w:i w:val="0"/>
          <w:sz w:val="24"/>
        </w:rPr>
        <w:t>, v. 53, n. 11, p. 667-699, 2019. DOI: https://doi.org/10.1136/bjsports-2019-100715.</w:t>
      </w:r>
    </w:p>
    <w:p>
      <w:pPr>
        <w:spacing w:before="0" w:after="120" w:line="240" w:lineRule="auto"/>
        <w:ind w:left="0" w:firstLine="0"/>
        <w:jc w:val="left"/>
      </w:pPr>
      <w:r>
        <w:rPr>
          <w:rFonts w:ascii="Times New Roman" w:hAnsi="Times New Roman"/>
          <w:i w:val="0"/>
          <w:sz w:val="24"/>
        </w:rPr>
        <w:t xml:space="preserve">REIGAL, R. E. et al. Psychological Profile, Competitive Anxiety, Moods and Self-Efficacy in Beach Handball Players. </w:t>
      </w:r>
      <w:r>
        <w:rPr>
          <w:rFonts w:ascii="Times New Roman" w:hAnsi="Times New Roman"/>
          <w:b/>
          <w:sz w:val="24"/>
        </w:rPr>
        <w:t>International Journal of Environmental Research and Public Health</w:t>
      </w:r>
      <w:r>
        <w:rPr>
          <w:rFonts w:ascii="Times New Roman" w:hAnsi="Times New Roman"/>
          <w:i w:val="0"/>
          <w:sz w:val="24"/>
        </w:rPr>
        <w:t>, v. 17, n. 1, e241, 2020. DOI: https://doi.org/10.3390/ijerph17010241.</w:t>
      </w:r>
    </w:p>
    <w:p>
      <w:pPr>
        <w:spacing w:before="0" w:after="120" w:line="240" w:lineRule="auto"/>
        <w:ind w:left="0" w:firstLine="0"/>
        <w:jc w:val="left"/>
      </w:pPr>
      <w:r>
        <w:rPr>
          <w:rFonts w:ascii="Times New Roman" w:hAnsi="Times New Roman"/>
          <w:i w:val="0"/>
          <w:sz w:val="24"/>
        </w:rPr>
        <w:t xml:space="preserve">ROBAZZA, C. et al. Perceived motivational climate influences athletes’ emotion regulation strategies, emotions, and psychobiosocial experiences. </w:t>
      </w:r>
      <w:r>
        <w:rPr>
          <w:rFonts w:ascii="Times New Roman" w:hAnsi="Times New Roman"/>
          <w:b/>
          <w:sz w:val="24"/>
        </w:rPr>
        <w:t>Psychology of Sport and Exercise</w:t>
      </w:r>
      <w:r>
        <w:rPr>
          <w:rFonts w:ascii="Times New Roman" w:hAnsi="Times New Roman"/>
          <w:i w:val="0"/>
          <w:sz w:val="24"/>
        </w:rPr>
        <w:t>, v. 59, e102110, 2022. DOI: https://doi.org/10.1016/j.psychsport.2021.102110.</w:t>
      </w:r>
    </w:p>
    <w:p>
      <w:pPr>
        <w:spacing w:before="0" w:after="120" w:line="240" w:lineRule="auto"/>
        <w:ind w:left="0" w:firstLine="0"/>
        <w:jc w:val="left"/>
      </w:pPr>
      <w:r>
        <w:rPr>
          <w:rFonts w:ascii="Times New Roman" w:hAnsi="Times New Roman"/>
          <w:i w:val="0"/>
          <w:sz w:val="24"/>
        </w:rPr>
        <w:t xml:space="preserve">ROCHA, P. G. M. D.; LOPES, J. L.; MORAES, S. M. F. D. Efeito da alteração ambiental sobre componentes psicológicos e parâmetros fisiológicos durante corrida em atletas. </w:t>
      </w:r>
      <w:r>
        <w:rPr>
          <w:rFonts w:ascii="Times New Roman" w:hAnsi="Times New Roman"/>
          <w:b/>
          <w:sz w:val="24"/>
        </w:rPr>
        <w:t>Psicologia: Teoria e Pesquisa</w:t>
      </w:r>
      <w:r>
        <w:rPr>
          <w:rFonts w:ascii="Times New Roman" w:hAnsi="Times New Roman"/>
          <w:i w:val="0"/>
          <w:sz w:val="24"/>
        </w:rPr>
        <w:t>, v. 26, n. 2, p. 381-386, 2010. DOI: https://doi.org/10.1590/S0102-37722010000200020.</w:t>
      </w:r>
    </w:p>
    <w:p>
      <w:pPr>
        <w:spacing w:before="0" w:after="120" w:line="240" w:lineRule="auto"/>
        <w:ind w:left="0" w:firstLine="0"/>
        <w:jc w:val="left"/>
      </w:pPr>
      <w:r>
        <w:rPr>
          <w:rFonts w:ascii="Times New Roman" w:hAnsi="Times New Roman"/>
          <w:i w:val="0"/>
          <w:sz w:val="24"/>
        </w:rPr>
        <w:t xml:space="preserve">ROHLFS, I. C. P. D. M. et al. A Escala de Humor de Brunel (Brums): instrumento para detecção precoce da síndrome do excesso de treinamento. </w:t>
      </w:r>
      <w:r>
        <w:rPr>
          <w:rFonts w:ascii="Times New Roman" w:hAnsi="Times New Roman"/>
          <w:b/>
          <w:sz w:val="24"/>
        </w:rPr>
        <w:t>Revista Brasileira de Medicina do Esporte</w:t>
      </w:r>
      <w:r>
        <w:rPr>
          <w:rFonts w:ascii="Times New Roman" w:hAnsi="Times New Roman"/>
          <w:i w:val="0"/>
          <w:sz w:val="24"/>
        </w:rPr>
        <w:t>, v. 14, n. 3, p. 176-181, 2008. DOI: https://doi.org/10.1590/S1517-86922008000300003.</w:t>
      </w:r>
    </w:p>
    <w:p>
      <w:pPr>
        <w:spacing w:before="0" w:after="120" w:line="240" w:lineRule="auto"/>
        <w:ind w:left="0" w:firstLine="0"/>
        <w:jc w:val="left"/>
      </w:pPr>
      <w:r>
        <w:rPr>
          <w:rFonts w:ascii="Times New Roman" w:hAnsi="Times New Roman"/>
          <w:i w:val="0"/>
          <w:sz w:val="24"/>
        </w:rPr>
        <w:t xml:space="preserve">SAAL, C. et al. How different defensive formations affect physical match demands in the German Handball-Bundesliga: a comparison of the attacking and defending team. </w:t>
      </w:r>
      <w:r>
        <w:rPr>
          <w:rFonts w:ascii="Times New Roman" w:hAnsi="Times New Roman"/>
          <w:b/>
          <w:sz w:val="24"/>
        </w:rPr>
        <w:t>Frontiers in Sports and Active Living</w:t>
      </w:r>
      <w:r>
        <w:rPr>
          <w:rFonts w:ascii="Times New Roman" w:hAnsi="Times New Roman"/>
          <w:i w:val="0"/>
          <w:sz w:val="24"/>
        </w:rPr>
        <w:t>, v. 8, e1811523, 2026. DOI: https://doi.org/10.3389/fspor.2026.1811523.</w:t>
      </w:r>
    </w:p>
    <w:p>
      <w:pPr>
        <w:spacing w:before="0" w:after="120" w:line="240" w:lineRule="auto"/>
        <w:ind w:left="0" w:firstLine="0"/>
        <w:jc w:val="left"/>
      </w:pPr>
      <w:r>
        <w:rPr>
          <w:rFonts w:ascii="Times New Roman" w:hAnsi="Times New Roman"/>
          <w:i w:val="0"/>
          <w:sz w:val="24"/>
        </w:rPr>
        <w:t xml:space="preserve">SAHLI, F. et al. Enhancing Skills, Mood, and Performance in Overweight Handball Players: Exploring Individual vs. Collective Verbal Encouragement Strategies. </w:t>
      </w:r>
      <w:r>
        <w:rPr>
          <w:rFonts w:ascii="Times New Roman" w:hAnsi="Times New Roman"/>
          <w:b/>
          <w:sz w:val="24"/>
        </w:rPr>
        <w:t>Children</w:t>
      </w:r>
      <w:r>
        <w:rPr>
          <w:rFonts w:ascii="Times New Roman" w:hAnsi="Times New Roman"/>
          <w:i w:val="0"/>
          <w:sz w:val="24"/>
        </w:rPr>
        <w:t>, v. 11, n. 4, e432, 2024. DOI: https://doi.org/10.3390/children11040432.</w:t>
      </w:r>
    </w:p>
    <w:p>
      <w:pPr>
        <w:spacing w:before="0" w:after="120" w:line="240" w:lineRule="auto"/>
        <w:ind w:left="0" w:firstLine="0"/>
        <w:jc w:val="left"/>
      </w:pPr>
      <w:r>
        <w:rPr>
          <w:rFonts w:ascii="Times New Roman" w:hAnsi="Times New Roman"/>
          <w:i w:val="0"/>
          <w:sz w:val="24"/>
        </w:rPr>
        <w:t xml:space="preserve">SAHLI, F. et al. The Effects of Combined Verbal Encouragement and Technical Instruction on Technical Skills and Psychophysiological Responses During Small-Sided Handball Games Exercise in Physical Education. </w:t>
      </w:r>
      <w:r>
        <w:rPr>
          <w:rFonts w:ascii="Times New Roman" w:hAnsi="Times New Roman"/>
          <w:b/>
          <w:sz w:val="24"/>
        </w:rPr>
        <w:t>Frontiers in Psychology</w:t>
      </w:r>
      <w:r>
        <w:rPr>
          <w:rFonts w:ascii="Times New Roman" w:hAnsi="Times New Roman"/>
          <w:i w:val="0"/>
          <w:sz w:val="24"/>
        </w:rPr>
        <w:t>, v. 13, e902088, 2022. DOI: https://doi.org/10.3389/fpsyg.2022.902088.</w:t>
      </w:r>
    </w:p>
    <w:p>
      <w:pPr>
        <w:spacing w:before="0" w:after="120" w:line="240" w:lineRule="auto"/>
        <w:ind w:left="0" w:firstLine="0"/>
        <w:jc w:val="left"/>
      </w:pPr>
      <w:r>
        <w:rPr>
          <w:rFonts w:ascii="Times New Roman" w:hAnsi="Times New Roman"/>
          <w:i w:val="0"/>
          <w:sz w:val="24"/>
        </w:rPr>
        <w:t xml:space="preserve">SAVITZKY, A.; GOLAY, M. J. E. Smoothing and Differentiation of Data by Simplified Least Squares Procedures. </w:t>
      </w:r>
      <w:r>
        <w:rPr>
          <w:rFonts w:ascii="Times New Roman" w:hAnsi="Times New Roman"/>
          <w:b/>
          <w:sz w:val="24"/>
        </w:rPr>
        <w:t>Analytical Chemistry</w:t>
      </w:r>
      <w:r>
        <w:rPr>
          <w:rFonts w:ascii="Times New Roman" w:hAnsi="Times New Roman"/>
          <w:i w:val="0"/>
          <w:sz w:val="24"/>
        </w:rPr>
        <w:t>, v. 36, n. 8, p. 1627-1639, 1964. DOI: https://doi.org/10.1021/ac60214a047.</w:t>
      </w:r>
    </w:p>
    <w:p>
      <w:pPr>
        <w:spacing w:before="0" w:after="120" w:line="240" w:lineRule="auto"/>
        <w:ind w:left="0" w:firstLine="0"/>
        <w:jc w:val="left"/>
      </w:pPr>
      <w:r>
        <w:rPr>
          <w:rFonts w:ascii="Times New Roman" w:hAnsi="Times New Roman"/>
          <w:i w:val="0"/>
          <w:sz w:val="24"/>
        </w:rPr>
        <w:t xml:space="preserve">SAW, A. E.; MAIN, L. C.; GASTIN, P. B. Monitoring the athlete training response: subjective self-reported measures trump commonly used objective measures: a systematic review. </w:t>
      </w:r>
      <w:r>
        <w:rPr>
          <w:rFonts w:ascii="Times New Roman" w:hAnsi="Times New Roman"/>
          <w:b/>
          <w:sz w:val="24"/>
        </w:rPr>
        <w:t>British Journal of Sports Medicine</w:t>
      </w:r>
      <w:r>
        <w:rPr>
          <w:rFonts w:ascii="Times New Roman" w:hAnsi="Times New Roman"/>
          <w:i w:val="0"/>
          <w:sz w:val="24"/>
        </w:rPr>
        <w:t>, v. 50, n. 5, p. 281-291, 2016. DOI: https://doi.org/10.1136/bjsports-2015-094758.</w:t>
      </w:r>
    </w:p>
    <w:p>
      <w:pPr>
        <w:spacing w:before="0" w:after="120" w:line="240" w:lineRule="auto"/>
        <w:ind w:left="0" w:firstLine="0"/>
        <w:jc w:val="left"/>
      </w:pPr>
      <w:r>
        <w:rPr>
          <w:rFonts w:ascii="Times New Roman" w:hAnsi="Times New Roman"/>
          <w:i w:val="0"/>
          <w:sz w:val="24"/>
        </w:rPr>
        <w:t xml:space="preserve">SCHIAVINI, C.; ARENA, R. Influence of the semi-final stage on mood in female handball athletes at Unisinos Championship 2008. </w:t>
      </w:r>
      <w:r>
        <w:rPr>
          <w:rFonts w:ascii="Times New Roman" w:hAnsi="Times New Roman"/>
          <w:b/>
          <w:sz w:val="24"/>
        </w:rPr>
        <w:t>FIEP Bulletin</w:t>
      </w:r>
      <w:r>
        <w:rPr>
          <w:rFonts w:ascii="Times New Roman" w:hAnsi="Times New Roman"/>
          <w:i w:val="0"/>
          <w:sz w:val="24"/>
        </w:rPr>
        <w:t>, v. 80, edição especial, p. 625-628, 2010.</w:t>
      </w:r>
    </w:p>
    <w:p>
      <w:pPr>
        <w:spacing w:before="0" w:after="120" w:line="240" w:lineRule="auto"/>
        <w:ind w:left="0" w:firstLine="0"/>
        <w:jc w:val="left"/>
      </w:pPr>
      <w:r>
        <w:rPr>
          <w:rFonts w:ascii="Times New Roman" w:hAnsi="Times New Roman"/>
          <w:i w:val="0"/>
          <w:sz w:val="24"/>
        </w:rPr>
        <w:t xml:space="preserve">SOTO, D.; GARCÍA-HERRERO, J. A.; CARCEDO, R. J. Well-Being and Throwing Speed of Women Handball Players Affected by Feedback. </w:t>
      </w:r>
      <w:r>
        <w:rPr>
          <w:rFonts w:ascii="Times New Roman" w:hAnsi="Times New Roman"/>
          <w:b/>
          <w:sz w:val="24"/>
        </w:rPr>
        <w:t>International Journal of Environmental Research and Public Health</w:t>
      </w:r>
      <w:r>
        <w:rPr>
          <w:rFonts w:ascii="Times New Roman" w:hAnsi="Times New Roman"/>
          <w:i w:val="0"/>
          <w:sz w:val="24"/>
        </w:rPr>
        <w:t>, v. 17, n. 17, e6064, 2020. DOI: https://doi.org/10.3390/ijerph17176064.</w:t>
      </w:r>
    </w:p>
    <w:p>
      <w:pPr>
        <w:spacing w:before="0" w:after="120" w:line="240" w:lineRule="auto"/>
        <w:ind w:left="0" w:firstLine="0"/>
        <w:jc w:val="left"/>
      </w:pPr>
      <w:r>
        <w:rPr>
          <w:rFonts w:ascii="Times New Roman" w:hAnsi="Times New Roman"/>
          <w:i w:val="0"/>
          <w:sz w:val="24"/>
        </w:rPr>
        <w:t xml:space="preserve">TAMMINEN, K. A. et al. A daily diary study of interpersonal emotion regulation, the social environment, and team performance among university athletes. </w:t>
      </w:r>
      <w:r>
        <w:rPr>
          <w:rFonts w:ascii="Times New Roman" w:hAnsi="Times New Roman"/>
          <w:b/>
          <w:sz w:val="24"/>
        </w:rPr>
        <w:t>Psychology of Sport and Exercise</w:t>
      </w:r>
      <w:r>
        <w:rPr>
          <w:rFonts w:ascii="Times New Roman" w:hAnsi="Times New Roman"/>
          <w:i w:val="0"/>
          <w:sz w:val="24"/>
        </w:rPr>
        <w:t>, v. 45, e101566, 2019. DOI: https://doi.org/10.1016/j.psychsport.2019.101566.</w:t>
      </w:r>
    </w:p>
    <w:p>
      <w:pPr>
        <w:spacing w:before="0" w:after="120" w:line="240" w:lineRule="auto"/>
        <w:ind w:left="0" w:firstLine="0"/>
        <w:jc w:val="left"/>
      </w:pPr>
      <w:r>
        <w:rPr>
          <w:rFonts w:ascii="Times New Roman" w:hAnsi="Times New Roman"/>
          <w:i w:val="0"/>
          <w:sz w:val="24"/>
        </w:rPr>
        <w:t xml:space="preserve">TERRY, P. C. et al. Validation of a Lithuanian-Language Version of the Brunel Mood Scale: The BRUMS-LTU. </w:t>
      </w:r>
      <w:r>
        <w:rPr>
          <w:rFonts w:ascii="Times New Roman" w:hAnsi="Times New Roman"/>
          <w:b/>
          <w:sz w:val="24"/>
        </w:rPr>
        <w:t>International Journal of Environmental Research and Public Health</w:t>
      </w:r>
      <w:r>
        <w:rPr>
          <w:rFonts w:ascii="Times New Roman" w:hAnsi="Times New Roman"/>
          <w:i w:val="0"/>
          <w:sz w:val="24"/>
        </w:rPr>
        <w:t>, v. 19, n. 8, e4867, 2022. DOI: https://doi.org/10.3390/ijerph19084867.</w:t>
      </w:r>
    </w:p>
    <w:p>
      <w:pPr>
        <w:spacing w:before="0" w:after="120" w:line="240" w:lineRule="auto"/>
        <w:ind w:left="0" w:firstLine="0"/>
        <w:jc w:val="left"/>
      </w:pPr>
      <w:r>
        <w:rPr>
          <w:rFonts w:ascii="Times New Roman" w:hAnsi="Times New Roman"/>
          <w:i w:val="0"/>
          <w:sz w:val="24"/>
        </w:rPr>
        <w:t xml:space="preserve">TERRY, P. C.; LANE, A. M. Normative values for the profile of mood states for use with athletic samples. </w:t>
      </w:r>
      <w:r>
        <w:rPr>
          <w:rFonts w:ascii="Times New Roman" w:hAnsi="Times New Roman"/>
          <w:b/>
          <w:sz w:val="24"/>
        </w:rPr>
        <w:t>Journal of Applied Sport Psychology</w:t>
      </w:r>
      <w:r>
        <w:rPr>
          <w:rFonts w:ascii="Times New Roman" w:hAnsi="Times New Roman"/>
          <w:i w:val="0"/>
          <w:sz w:val="24"/>
        </w:rPr>
        <w:t>, v. 12, n. 1, p. 93-109, 2000. DOI: https://doi.org/10.1080/10413200008404215.</w:t>
      </w:r>
    </w:p>
    <w:p>
      <w:pPr>
        <w:spacing w:before="0" w:after="120" w:line="240" w:lineRule="auto"/>
        <w:ind w:left="0" w:firstLine="0"/>
        <w:jc w:val="left"/>
      </w:pPr>
      <w:r>
        <w:rPr>
          <w:rFonts w:ascii="Times New Roman" w:hAnsi="Times New Roman"/>
          <w:i w:val="0"/>
          <w:sz w:val="24"/>
        </w:rPr>
        <w:t xml:space="preserve">TERRY, P. C.; PARSONS-SMITH, R. L. Mood Profiling for Sustainable Mental Health among Athletes. </w:t>
      </w:r>
      <w:r>
        <w:rPr>
          <w:rFonts w:ascii="Times New Roman" w:hAnsi="Times New Roman"/>
          <w:b/>
          <w:sz w:val="24"/>
        </w:rPr>
        <w:t>Sustainability</w:t>
      </w:r>
      <w:r>
        <w:rPr>
          <w:rFonts w:ascii="Times New Roman" w:hAnsi="Times New Roman"/>
          <w:i w:val="0"/>
          <w:sz w:val="24"/>
        </w:rPr>
        <w:t>, v. 13, n. 11, e6116, 2021. DOI: https://doi.org/10.3390/su13116116.</w:t>
      </w:r>
    </w:p>
    <w:p>
      <w:pPr>
        <w:spacing w:before="0" w:after="120" w:line="240" w:lineRule="auto"/>
        <w:ind w:left="0" w:firstLine="0"/>
        <w:jc w:val="left"/>
      </w:pPr>
      <w:r>
        <w:rPr>
          <w:rFonts w:ascii="Times New Roman" w:hAnsi="Times New Roman"/>
          <w:i w:val="0"/>
          <w:sz w:val="24"/>
        </w:rPr>
        <w:t xml:space="preserve">TERRY, P.; LANE, A.; FOGARTY, G. Construct validity of the Profile of Mood States — Adolescents for use with adults. </w:t>
      </w:r>
      <w:r>
        <w:rPr>
          <w:rFonts w:ascii="Times New Roman" w:hAnsi="Times New Roman"/>
          <w:b/>
          <w:sz w:val="24"/>
        </w:rPr>
        <w:t>Psychology of Sport and Exercise</w:t>
      </w:r>
      <w:r>
        <w:rPr>
          <w:rFonts w:ascii="Times New Roman" w:hAnsi="Times New Roman"/>
          <w:i w:val="0"/>
          <w:sz w:val="24"/>
        </w:rPr>
        <w:t>, v. 4, n. 2, p. 125-139, 2003. DOI: https://doi.org/10.1016/S1469-0292(01)00035-8.</w:t>
      </w:r>
    </w:p>
    <w:p>
      <w:pPr>
        <w:spacing w:before="0" w:after="120" w:line="240" w:lineRule="auto"/>
        <w:ind w:left="0" w:firstLine="0"/>
        <w:jc w:val="left"/>
      </w:pPr>
      <w:r>
        <w:rPr>
          <w:rFonts w:ascii="Times New Roman" w:hAnsi="Times New Roman"/>
          <w:i w:val="0"/>
          <w:sz w:val="24"/>
        </w:rPr>
        <w:t xml:space="preserve">TREJO-SILVA, A. et al. Attacking performance analysis during 2-minute suspensions in female handball games at the Rio 2016 Olympic Games. </w:t>
      </w:r>
      <w:r>
        <w:rPr>
          <w:rFonts w:ascii="Times New Roman" w:hAnsi="Times New Roman"/>
          <w:b/>
          <w:sz w:val="24"/>
        </w:rPr>
        <w:t>Kinesiology</w:t>
      </w:r>
      <w:r>
        <w:rPr>
          <w:rFonts w:ascii="Times New Roman" w:hAnsi="Times New Roman"/>
          <w:i w:val="0"/>
          <w:sz w:val="24"/>
        </w:rPr>
        <w:t>, v. 57, n. 1, p. 3-14, 2025. DOI: https://doi.org/10.26582/k.57.1.1.</w:t>
      </w:r>
    </w:p>
    <w:p>
      <w:pPr>
        <w:spacing w:before="0" w:after="120" w:line="240" w:lineRule="auto"/>
        <w:ind w:left="0" w:firstLine="0"/>
        <w:jc w:val="left"/>
      </w:pPr>
      <w:r>
        <w:rPr>
          <w:rFonts w:ascii="Times New Roman" w:hAnsi="Times New Roman"/>
          <w:i w:val="0"/>
          <w:sz w:val="24"/>
        </w:rPr>
        <w:t xml:space="preserve">TRUONG, C.; OUDRE, L.; VAYATIS, N. Selective review of offline change point detection methods. </w:t>
      </w:r>
      <w:r>
        <w:rPr>
          <w:rFonts w:ascii="Times New Roman" w:hAnsi="Times New Roman"/>
          <w:b/>
          <w:sz w:val="24"/>
        </w:rPr>
        <w:t>Signal Processing</w:t>
      </w:r>
      <w:r>
        <w:rPr>
          <w:rFonts w:ascii="Times New Roman" w:hAnsi="Times New Roman"/>
          <w:i w:val="0"/>
          <w:sz w:val="24"/>
        </w:rPr>
        <w:t>, v. 167, e107299, 2020. DOI: https://doi.org/10.1016/j.sigpro.2019.107299.</w:t>
      </w:r>
    </w:p>
    <w:p>
      <w:pPr>
        <w:spacing w:before="0" w:after="120" w:line="240" w:lineRule="auto"/>
        <w:ind w:left="0" w:firstLine="0"/>
        <w:jc w:val="left"/>
      </w:pPr>
      <w:r>
        <w:rPr>
          <w:rFonts w:ascii="Times New Roman" w:hAnsi="Times New Roman"/>
          <w:i w:val="0"/>
          <w:sz w:val="24"/>
        </w:rPr>
        <w:t xml:space="preserve">WAGNER, H.; RADIC, V.; HINZ, M. Differences in game-based performance by playing position in young elite male team handball players. </w:t>
      </w:r>
      <w:r>
        <w:rPr>
          <w:rFonts w:ascii="Times New Roman" w:hAnsi="Times New Roman"/>
          <w:b/>
          <w:sz w:val="24"/>
        </w:rPr>
        <w:t>Frontiers in Sports and Active Living</w:t>
      </w:r>
      <w:r>
        <w:rPr>
          <w:rFonts w:ascii="Times New Roman" w:hAnsi="Times New Roman"/>
          <w:i w:val="0"/>
          <w:sz w:val="24"/>
        </w:rPr>
        <w:t>, v. 7, e1688078, 2025. DOI: https://doi.org/10.3389/fspor.2025.1688078.</w:t>
      </w:r>
    </w:p>
    <w:p>
      <w:pPr>
        <w:spacing w:before="0" w:after="120" w:line="240" w:lineRule="auto"/>
        <w:ind w:left="0" w:firstLine="0"/>
        <w:jc w:val="left"/>
      </w:pPr>
      <w:r>
        <w:rPr>
          <w:rFonts w:ascii="Times New Roman" w:hAnsi="Times New Roman"/>
          <w:i w:val="0"/>
          <w:sz w:val="24"/>
        </w:rPr>
        <w:t xml:space="preserve">WATSON, D.; CLARK, L. A.; TELLEGEN, A. Development and validation of brief measures of positive and negative affect: The PANAS scales. </w:t>
      </w:r>
      <w:r>
        <w:rPr>
          <w:rFonts w:ascii="Times New Roman" w:hAnsi="Times New Roman"/>
          <w:b/>
          <w:sz w:val="24"/>
        </w:rPr>
        <w:t>Journal of Personality and Social Psychology</w:t>
      </w:r>
      <w:r>
        <w:rPr>
          <w:rFonts w:ascii="Times New Roman" w:hAnsi="Times New Roman"/>
          <w:i w:val="0"/>
          <w:sz w:val="24"/>
        </w:rPr>
        <w:t>, v. 54, n. 6, p. 1063-1070, 1988. DOI: https://doi.org/10.1037/0022-3514.54.6.1063.</w:t>
      </w:r>
    </w:p>
    <w:p>
      <w:pPr>
        <w:spacing w:before="0" w:after="120" w:line="240" w:lineRule="auto"/>
        <w:ind w:left="0" w:firstLine="0"/>
        <w:jc w:val="left"/>
      </w:pPr>
      <w:r>
        <w:rPr>
          <w:rFonts w:ascii="Times New Roman" w:hAnsi="Times New Roman"/>
          <w:i w:val="0"/>
          <w:sz w:val="24"/>
        </w:rPr>
        <w:t xml:space="preserve">ZURITA ORTEGA, F. et al. Aspectos psicosomáticos implicados en las lesiones deportivas. </w:t>
      </w:r>
      <w:r>
        <w:rPr>
          <w:rFonts w:ascii="Times New Roman" w:hAnsi="Times New Roman"/>
          <w:b/>
          <w:sz w:val="24"/>
        </w:rPr>
        <w:t>Cuadernos de Psicología del Deporte</w:t>
      </w:r>
      <w:r>
        <w:rPr>
          <w:rFonts w:ascii="Times New Roman" w:hAnsi="Times New Roman"/>
          <w:i w:val="0"/>
          <w:sz w:val="24"/>
        </w:rPr>
        <w:t>, v. 14, n. 2, p. 81-88, 2014. DOI: https://doi.org/10.4321/s1578-84232014000200009.</w:t>
      </w:r>
    </w:p>
    <w:p>
      <w:pPr>
        <w:sectPr>
          <w:headerReference w:type="default" r:id="rId9"/>
          <w:pgSz w:w="11906" w:h="16838"/>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A – EXTRAÇÃO DOS DADOS DOS ESTUDOS INCLUÍDOS</w:t>
      </w:r>
    </w:p>
    <w:p>
      <w:pPr>
        <w:keepNext/>
        <w:spacing w:before="120" w:after="60" w:line="240" w:lineRule="auto"/>
        <w:ind w:left="0" w:firstLine="0"/>
        <w:jc w:val="both"/>
      </w:pPr>
      <w:r>
        <w:rPr>
          <w:rFonts w:ascii="Times New Roman" w:hAnsi="Times New Roman"/>
          <w:b/>
          <w:sz w:val="20"/>
        </w:rPr>
        <w:t>Quadro A1</w:t>
      </w:r>
      <w:r>
        <w:rPr>
          <w:rFonts w:ascii="Times New Roman" w:hAnsi="Times New Roman"/>
          <w:i w:val="0"/>
          <w:sz w:val="20"/>
        </w:rPr>
        <w:t xml:space="preserve"> – Extração dos dados dos estudos incluídos: identificação, país, amostra, delineamento, contexto e momento, instrumento e dimensões, variáveis e intervenção, principais resultados, direção do achado e qualidade metodológica</w:t>
      </w:r>
    </w:p>
    <w:tbl>
      <w:tblPr>
        <w:jc w:val="center"/>
        <w:tblLayout w:type="fixed"/>
        <w:tblLook w:firstColumn="1" w:firstRow="1" w:lastColumn="0" w:lastRow="0" w:noHBand="0" w:noVBand="1" w:val="04A0"/>
        <w:tblW w:w="14004" w:type="dxa"/>
        <w:tblLayout w:type="fixed"/>
      </w:tblPr>
      <w:tblGrid>
        <w:gridCol w:w="1360"/>
        <w:gridCol w:w="793"/>
        <w:gridCol w:w="1587"/>
        <w:gridCol w:w="1701"/>
        <w:gridCol w:w="1587"/>
        <w:gridCol w:w="1701"/>
        <w:gridCol w:w="3402"/>
        <w:gridCol w:w="907"/>
        <w:gridCol w:w="963"/>
      </w:tblGrid>
      <w:tr>
        <w:trPr>
          <w:tblHeader w:val="true"/>
        </w:trPr>
        <w:tc>
          <w:tcPr>
            <w:tcW w:w="1360"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Estudo</w:t>
            </w:r>
          </w:p>
        </w:tc>
        <w:tc>
          <w:tcPr>
            <w:tcW w:w="793"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País</w:t>
            </w:r>
          </w:p>
        </w:tc>
        <w:tc>
          <w:tcPr>
            <w:tcW w:w="15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Amostra</w:t>
            </w:r>
          </w:p>
        </w:tc>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Delineamento, contexto e momento</w:t>
            </w:r>
          </w:p>
        </w:tc>
        <w:tc>
          <w:tcPr>
            <w:tcW w:w="15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Instrumento e dimensões</w:t>
            </w:r>
          </w:p>
        </w:tc>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Outras variáveis e intervenção</w:t>
            </w:r>
          </w:p>
        </w:tc>
        <w:tc>
          <w:tcPr>
            <w:tcW w:w="3402"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Principais resultados sobre o humor</w:t>
            </w:r>
          </w:p>
        </w:tc>
        <w:tc>
          <w:tcPr>
            <w:tcW w:w="90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Direção</w:t>
            </w:r>
          </w:p>
        </w:tc>
        <w:tc>
          <w:tcPr>
            <w:tcW w:w="963"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Qualidade Q1 a Q6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Farzanegi et al. ([2008?])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Irã</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n.r.; feminino; n.r.;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antes e depois da competição (cortisol também durante)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n.r.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cortisol salivar; resultado da partida (vitória ou derrota).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Segundo o resumo, o escore do POMS aumentou de forma significativa na competição em relação ao momento pré. O cortisol salivar subiu após a partida e a variação dependeu do resultado do jogo. O resumo não traz valores numéricos acessíveis.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Bresciani et al.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masculino; 20,1 ± 2,5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cinco sessões na temporada de 40 semanas (T1 antes do período preparatório; T2 fim do preparatório; T3 e T4 fim do 1º e do 2º período competitivo; T5 após 7 semanas de recuperação), entre 9h e 11h, 24 h após o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POMS-65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RESTQ-Sport; carga de treino (PSE da sessão); proteína C-reativa; GSH, GSSG e GSH/GSSG; mieloperoxidase; hemograma; creatina quinase.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PTH não mudou ao longo da temporada (T1 119,0 ± 27,3; T3 129,0 ± 42,9; T5 119,2 ± 29,1). A raiva aumentou em T3 (14,1 ± 10,1 contra 8,7 ± 6,9 em T1; p &lt; 0,05). O vigor aumentou em T4 (20,6 ± 4,4 contra 19,1 ± 3,8; p &lt; 0,05). Subescalas do RESTQ-Sport correlacionaram-se com a carga (Estar em Forma R² = 0,93).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Rocha, Lopes e Moraes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 misto; n.r.;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laboratório. Momento: durante a corrida em esteira de 20 min, 11 vezes por sessão (3º ao 20º minuto), em quatro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(Escala de Afeto de Hardy e Rejeski, 1989; +5 a -5). Dimensões: valência afetiva (prazer ou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PSE (Borg CR-10); frequência cardíaca; cortisol salivar. Intervenção: Manipulação verbal da informação sobre a duração da corrida a 70% da velocidade de pico: linha de base, fragmentada, superestimada e indefinida.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afeto apresentou diferença significativa apenas nas sessões fragmentada e superestimada, nos minutos após o 10º minuto, momento da manipulação verbal da duração. O cortisol subiu no 11º minuto nessas sessões (11,59 ± 1,92 e 10,69 ± 1,48 contra 9,26 ± 1,54 nmol/l na linha de base; p &lt; 0,05). Os escores de afeto aparecem só em figura, sem valores numéricos no texto.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Schiavini e Arena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51; feminino; 18 a 33 anos;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competição oficial. Momento: cerca de 40 a 45 min antes de cada um dos dois jogos da semifinal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LEA-RI (Lista de Estados de Ânimo Reduzida e Ilustrada; Volp, 2000). Dimensões: 14 adjetivos de estados de ânimo, agrupados em positivos e negativos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resultado da partida (placar).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equipes vencedoras A e C tiveram mais respostas de intensidade "muito" nos adjetivos positivos (31 % e 28 %) que as adversárias B e D (22 % e 19 %). Nos adjetivos negativos, A teve 0 %, B 4 %, C 7 % e D 4 %. A análise foi só descritiva, sem teste estatístico. As equipes com ânimo mais positivo venceram (22 x 11 e 21 x 10).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Descritivo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Al-Wattar e Al-Badrane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Iraque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20; n.r.; 18 a 20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antes e depois do programa (detalhe n.r. no resumo)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 (Brunel Mood Scale; Terry et al., 2003; versão árabe adaptada). Dimensões: tensão, depressão, raiva, vigor, fadiga, confusão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Intervenção: Programa de treinamento psicológico com estratégias de autorregulação do humor, aplicado a jovens jogadores do Mosul Sports Club.</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Segundo o resumo, o programa reduziu os escores dos eixos negativos da escala e elevou o eixo positivo (vigor) no grupo experimental. Os autores consideram o programa muito eficaz para converter humor negativo em positivo. Valores numéricos n.r. no resumo.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Zurita Ortega et al.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48; feminino; 18,8 ± 0,20 anos (faixa de 16 a 26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Uma vez por mês, no último dia de cada mês, ao longo da temporada (novembro de 2010 a maio de 2011), no pavilhão de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de Andrade, Arce e Seoane, 2002; 48 itens). Dimensões: cólera, depressão, tensão, fadiga, vigor, amizade (escore total usado na análise)</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ocorrência de lesões (autorregistro), tempo de inatividade, ansiedade traço/estado (STAI), ansiedade precompetitiva (CSAI-2R), apoio social familiar, idade, categoria, posição, anos de competição.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escore do POMS entrou num conjunto de variáveis físicas e psicológicas numa regressão logística por passos. O conjunto classificou corretamente 88,89% dos casos de lesão. O efeito individual do humor não foi relatado. O modelo só com variáveis psicológicas excluiu o POMS e atingiu 75,51%.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Não determinável</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Montes e Gomes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Portugal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masculino; 18 a 35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três momentos: M1 início da temporada, M2 após mesociclo preparatório, M3 no período competitivo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tensão (demais subescalas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resistência anaeróbia (Yo-Yo Intermittent Recovery Test).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escala tensão do POMS foi significativamente maior em M1 que em M2 e M3. A resistência anaeróbia não variou de forma relevante. Não houve correlação entre a variação da condição física e os estados de humor. O resumo não traz valores numéricos.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Pereira et al.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 feminino; 14 a 16 anos (amostra total);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vez, antes do treino, após 48 h sem treinamento; referência aos últimos sete dias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reduzida adaptada (escala de 0 a 4). Dimensões: tensão, depressão, hostilidade,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CK, LDH, PCR-us, atividade nervosa autonômica cardíaca (VFC, LF/HF), sonolência diurna (Escala de Epworth), padrão de sono, carga de treino e atividades escolares.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sete atletas de handebol tiveram PTH de 108,6 ± 14,71, sem diferença significativa em relação ao valor de referência de 100 pontos (teste t de uma amostra; p = 0,1740). Cinco delas (70%) tiveram PTH acima da referência. Fadiga 9,1 ± 4,5 e vigor 16,6 ± 4,4. Os meninos do basquetebol (n = 11) tiveram PTH de 97,5 ± 6,8 (p = 0,2410).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Lagner et al. (2015)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Alemanha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61; masculino; 30,46 ± 8,29 anos (amostra analisada); 31,63 ± 8,63 anos (80 testados); amador;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Quatro medidas em cada condição: 30 min antes do jogo ou treino, logo após, durante e ao final da bateria cognitiva; após jogo vencido e após treino, em ordem contrabalançada.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Self-Assessment Manikin (SAM), subescala de estado afetivo (escala de 9 pontos). Dimensões: valência afetiva (estado afetivo positivo a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memória episódica, memória de curto prazo numérica e visuoespacial, memória prospectiva, fluência verbal, flexibilidade cognitiva, pressão arterial sistólica, motivação, interesse, dificuldade percebida.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foi mais positivo após o jogo vencido que após o treino (F(1,180) = 30,48; p &lt; 0,001; η2 = 0,34), com efeito do momento (F = 13,20; p &lt; 0,001) e interação (F = 11,86; p &lt; 0,001). O humor piorou durante a testagem nas duas condições, mas ficou mais positivo após o jogo em todos os momentos. A memória episódica e a de curto prazo foram piores após o jogo (por exemplo, memória episódica de longo prazo F(1,60) = 14,26; p &lt; 0,001; ηp2 = 0,19), e o controle executivo não diferiu. Com o humor como covariável, as diferenças de memória deixaram de ser significativas.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Buchheit (2015)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37; n.r.; n.r. (adolescentes);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11 ocasiões mensais, de setembro a maio, na temporada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n.r. no resumo (o resumo cita humor e fadiga percebidos)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FC de repouso, VFC, sprint de 10 m, salto com contramovimento, 30-15 Intermittent Fitness Test; carga semanal de treino (10 ± 2,1 h/semana).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sensibilidade da FC e das medidas psicométricas (POMS) para detectar mudanças no desempenho físico foi baixa (&lt; 20%). A especificidade foi alta (&gt; 75%) para todos os marcadores e testes. As diferenças de desempenho entre jogadores com melhor ou pior estado de treino estimado foram quase certamente triviais. O autor conclui que medidas mensais de humor e fadiga percebidos têm limitação para prever mudanças de desempenho na temporada.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Khazdozi, Bahari e Ashayeri (2017)</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Irã</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24; feminino; n.r.;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Antes e depois do programa de aquecimento (pré-teste e pós-teste).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de humor de atletas atribuído a Brooms (versão persa, 32 itens, 8 componentes; provável adaptação da BRUMS). Dimensões: estresse, vivacidade, confusão, fadiga, felicidade, calamidade, depressão, raiva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motivação para o treino (questionário de motivação esportiva, 28 itens). Intervenção: Aquecimento com música (grupo experimental, n = 12) contra aquecimento sem música (grupo controle, n = 12); duração e tipo de música não descritos.</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variação do humor do pré para o pós-teste diferiu entre os grupos (Mann-Whitney U = 22; Z = -2,899; p = 0,003). Não houve diferença na motivação para o treino (U = 46; Z = -1,503; p = 0,143). Médias e desvios do humor não foram relatados em tabela.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Obregón Sibón et al. (2017)</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12; masculino; 28,46 ± 5,48 anos;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antes e depois de uma partida de handebol (pós-teste após o jogo)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forma breve (questionário de McNair). Dimensões: fadiga, vigor, tensão (outras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limiar mecânico nociceptivo (algometria de pressão) dos músculos do ombro.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Após a partida, a fadiga aumentou (t = -4,408; p &lt; 0,001) e o vigor mudou de forma significativa (t = -4,259; p &lt; 0,001); a tensão não mudou (t = -0,088; p = 0,931). O limiar mecânico nociceptivo do ombro aumentou (hipoalgesia). A fadiga psicológica teve correlação positiva e o vigor correlação negativa com o limiar nociceptivo após o jogo.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Assunção Carvalho et al.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25; masculino; 18,6 ± 2,4 anos (faixa de 16 a 23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treinamento. Momento: No início e após 28 dias de suplementação.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adaptado ao esporte por Raglin e Morgan (1994), 36 itens. Dimensões: tensão, depressão, hostilidade, fadiga, confusão, vigor, perturbação total do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MDA, capacidade antioxidante total, CK, LDH, VO2max (20 m shuttle run), salto vertical, RAST, índice de fadiga, composição corporal, ingestão alimentar. Intervenção: Néctar de Syzygium cumini (jamelão), 10 mL/kg/dia antes e após o treino por 28 dias, contra bebida placebo com maltodextrina; duplo-cego.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Na perturbação total do humor houve efeito do tempo (F = 10,509; p = 0,004; η2 = 0,31) e interação (F = 5,336; p = 0,030). Só o grupo suplementado melhorou (100,7 ± 17,0 para 89,7 ± 11,6; p = 0,004), sem diferença entre grupos. A confusão caiu só no grupo suplementado (-1,7 para -3,8; interação F = 10,344; p = 0,004), sem diferença entre grupos (p = 0,159). A variação da CK correlacionou-se com a da perturbação do humor no grupo suplementado (r = 0,74; p = 0,006).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Durai e Athisayaraj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Índia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12; masculino; 18 a 23 anos;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n.r.. Momento: n.r.</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(manual de McNair, Lorr e Droppleman). Dimensões: tensão, depressão, raiva, vigor, fadiga, confusão (escore total)</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modalidade (comparação com 12 jogadores de voleibol).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escore de humor dos jogadores de handebol (85,12 ± 9,31) foi maior que o dos jogadores de voleibol (80,23 ± 7,12), com t = 4,52 (gl = 22; p &lt; 0,05). Os autores concluem que os jogadores de handebol foram melhores no humor.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Padilhas et al.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17; feminino; 27,1 ± 3,8 anos; elite/profissional; praia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Antes do início da intertemporada (E1), no 8º dia (E2) e no 18º dia (E3) do período de treino pré-competitivo.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não especificada no resumo; referências citam a versão reduzida portuguesa de Viana, Almeida e Santos, 2001). Dimensões: fadiga, perturbação total do humor (demais subescalas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CK, LDH, modulação autonômica cardíaca (ECG), carga de treino modulada. Intervenção: Cargas de treino ajustadas pela comissão técnica conforme a resposta fisiológica individual por 18 dias.</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fadiga do POMS subiu de E1 (2,06 ± 2,61) para E2 (4,82 ± 4,05) e E3 (5,5 ± 4,8). A perturbação total do humor não mudou. A CK aumentou de E1 para E2 (131,1 para 212,9) e a LDH caiu de E2 para E3.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Lisenchuk et al. (2019)</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Ucrânia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32; feminino; 19 a 21 anos; elite/profissional;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avaliação por atleta, conforme a fase do ciclo ovariano-menstrual em que se encontrava (menstrual n = 5; pós-menstrual n = 7; ovulatória n = 3; pós-ovulatória n = 8; pré-menstrual n = 9), durante o processo de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Método EMPA (sentimento emocional, humor e atividade física; equivalente ao teste SAN). Dimensões: emoção (bem-estar), humor, atividade física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percepção subjetiva de sintomas (questionário de Giessen), fase do ciclo ovariano-menstrual.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ficou mais baixo nas fases menstrual (4,24 ± 0,10), ovulatória (4,17 ± 0,14) e pré-menstrual (4,11 ± 0,16) que nas fases pós-menstrual e pós-ovulatória (5,31). Os autores classificam esses valores como abaixo da norma, sem teste entre fases. O coeficiente de contingência entre nível do EMPA e fase do ciclo foi C = 0,742 (p ≤ 0,001). O estado de saúde correlacionou-se inversamente com a intensidade das queixas (Rxy = -0,72; p &lt; 0,05).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Mon-López et al.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187; misto; homens 23,61 ± 6,19 anos; mulheres 22,65 ± 4,62 anos; elite/profissional e nacional (77 profissionais e 110 não profissionais, todos federados);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período de isolamento pela Covid-19, sem treino coletivo nem competição. Momento: uma vez, por questionário on-line, entre 16 e 26 de abril de 2020, após cerca de 35 dias de confinamento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validada, 30 itens: Q35 a Q64). Dimensões: tensão-ansiedade, depressão, raiva, vigor, fadiga, amizade</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PSE do treino, dias e horas de treino, horas e qualidade do sono (antes e durante o isolamento), inteligência emocional (WLEIS-S), resiliência (BRS).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mulheres relataram mais depressão (8,26 ± 3,64 contra 6,75 ± 4,00; p = 0,012) e mais fadiga (8,65 contra 7,50; p = 0,045), e os homens mais vigor (11,98 contra 10,74; p = 0,03). Na regressão hierárquica, depressão (β = 0,25), vigor (β = 0,24) e fadiga (β = -0,28) predisseram os dias de treino no confinamento (R² = 0,11; p &lt; 0,001), com padrão semelhante para as horas de treino (R² = 0,09; p = 0,01). A tensão-ansiedade predisse menor qualidade do sono (β = -0,25; p = 0,01) e a amizade predisse menos horas de sono (β = -0,22; p = 0,03). O humor não predisse a PSE no primeiro passo do modelo (p = 0,176).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Reigal et al.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181; misto; 25,68 ± 5,95 anos; nacional (equipes classificadas para a Copa da Espanha de 2016); praia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competição oficial. Momento: uma vez, 24 h antes do primeiro jogo da Copa da Espanha de handebol de praia de 2016</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de Arce, Andrade e Seoane, 65 adjetivos, escala de 0 a 4). Dimensões: tensão, depressão, raiva, vigor, fadiga (confusão e amizade previstas no instrumento, mas não relatadas)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perfil psicológico esportivo (SPPI/IPED), ansiedade competitiva e autoconfiança (CSAI-2), autoeficácia geral (GSES).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médias do POMS na amostra total foram tensão 1,72 ± 0,84, vigor 2,91 ± 0,68, depressão 0,62 ± 0,81, raiva 1,14 ± 0,77 e fadiga 1,16 ± 0,93. As habilidades psicológicas correlacionaram-se de forma negativa com as dimensões negativas do humor e de forma positiva com o vigor (por exemplo, controle de enfrentamento negativo e tensão, r = -0,39; p &lt; 0,001). Nas regressões, o controle de enfrentamento negativo predisse a tensão (β = -0,462; R² = 0,21), o nível motivacional e o controle atitudinal predisseram o vigor (R² = 0,22), e a autoconfiança predisse depressão (β = -0,275) e fadiga (β = -0,317).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Soto, García-Herrero e Carcedo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Chile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39; feminino; 19,97 ± 3,60 anos; elite/profissional (seleções nacionais adulta, júnior e juvenil do Chile);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laboratório (tarefa experimental de arremesso). Momento: antes e depois da tarefa de arremesso com feedback</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espanhola, 20 itens).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vitalidade subjetiva, valorização da competência, competência percebida, motivação autônoma, velocidade e precisão do arremesso. Intervenção: feedback verbal pré-estabelecido durante 30 arremessos: positivo (n = 13), negativo (n = 13) ou ausente (n = 13)</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Entre as variáveis psicológicas, só o afeto positivo teve interação feedback × tempo significativa (F = 4,63; p &lt; 0,05). O grupo com feedback negativo reduziu o afeto positivo (mediana 4,20 para 3,70; delta de Cliff = 0,36; p &lt; 0,01), sem mudança nos grupos com feedback positivo ou sem feedback. O afeto negativo não variou (interação F = 1,70; n.s.).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Nugraha, Wibowo e Firmansyah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Indonésia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40; misto; 9,1 ± 0,54 anos;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n.r.. Momento: antes da atividade de jogo de invasão (handebol modificado, 4 contra 4, 8 min) em aula de educação física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Brief Mood Introspection Scale (BMIS), 16 itens, escala Likert de 4 pontos (adaptada). Dimensões: humor agradável (ativo, calmo, carinhoso, contente, feliz, animado, amoroso, entusiasmado), humor desagradável (sonolento, farto, melancólico, irritado, agitado, nervoso, triste, cansado) e escore total agradável-desagradável</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desempenho de jogo (GPAI: tomada de decisão, execução e suporte) e envolvimento no jogo.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agradável correlacionou com o desempenho de jogo (r = 0,336; p = 0,034) e com o envolvimento no jogo (r = 0,587; p &lt; 0,001). O escore desagradável (pontuação invertida) correlacionou com o envolvimento (r = 0,508; p = 0,001), mas não com o desempenho (r = 0,170; p = 0,294). O escore total correlacionou com o envolvimento (r = 0,585; p &lt; 0,001), sem correlação significativa com o desempenho (r = 0,266; p = 0,097). Médias: agradável 2,95 ± 0,66; desagradável 2,78 ± 0,76.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(2021)</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15,94 ± 0,68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confinamento domiciliar por COVID-19 (treino e competição suspensos). Momento: semana 1 (início do confinamento domiciliar), semana 6 (início do confinamento parcial) e semana 10 (fim do confinamento parcial)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sexo e modalidade (atletismo, handebol, natação) como fatores de comparação.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Nas handebolistas (Tabela S2), a PTH foi 136,94 ± 26,62 na semana 1, 139,81 ± 32,33 na semana 6 e 135,54 ± 33,26 na semana 10, sempre maior que no atletismo (pBonferroni = 0,024; 0,016; 0,013). O handebol teve mais depressão que o atletismo nas semanas 6 e 10 (10,85 ± 8,51 na semana 10; pBonferroni = 0,012), mais confusão nas semanas 6 e 10 (pBonferroni = 0,001) e mais raiva na semana 6 (14,53 ± 9,32; p = 0,005 contra atletismo e p = 0,030 contra natação). A tensão foi maior que na natação na semana 6 (p = 0,020); vigor e fadiga não diferiram entre esportes. A variação temporal dentro do handebol não foi testada.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García-Herrero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73; feminino; 23,13 ± 4,05 anos; elite/profissional (Liga Iberdrola, primeira divisão espanhola);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laboratório (tarefa experimental de arremesso). Momento: antes e depois da tarefa de arremesso com feedback</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espanhola, 20 itens). Dimensões: afeto positivo, afeto negativo (bem-estar subjetivo)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com o treinador, valorização e percepção de competência, motivação autônoma, amotivação, velocidade e precisão do arremesso. Intervenção: feedback comparativo pré-estabelecido (positivo, negativo ou ausente) durante 21 arremessos, analisado segundo satisfação baixa ou alta com o treinador</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houve efeito significativo de satisfação, feedback, tempo ou interações sobre o afeto positivo (por exemplo, F × T = 1,45) nem sobre o afeto negativo (F × T = 0,04). As medianas do afeto positivo ficaram entre 3,30 e 4,10 e as do afeto negativo entre 1,20 e 1,50 nos seis grupos. Os efeitos do feedback apareceram só na competência, na motivação autônoma e na velocidade do arremesso, nas atletas com baixa satisfação com o treinador.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Ghazel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feminino; 21 a 24 anos;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laboratório. Momento: em cada fase do ciclo menstrual (menstrual, folicular e lútea)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ansiedade (tensão), raiva e confusão relatadas no resumo; demais dimensões n.r.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squat jump, salto com contramovimento, agilidade (T-test), sprints repetidos, PSE, condição com e sem música. Intervenção: música de ritmo rápido (140 bpm) contra ausência de música, em ordem aleatória, em cada fase do ciclo menstrual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ansiedade, a raiva e a confusão foram maiores na fase menstrual que nas fases lútea e folicular. O resumo não informa médias, valores de p nem tamanho de efeito. A fase do ciclo não alterou o desempenho físico.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20; masculino; 16 ± 1 anos; escolar (alunos do ensino secundário sem experiência competitiva no handebol);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aula de educação física (jogo reduzido de passes). Momento: no intervalo de recuperação entre as duas séries de 10 min e após o jogo, em cada uma das três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(Hardy e Rejeski, 1989; -5 a +5). Dimensões: valência afetiva (prazer e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número de passes, PSE (Borg CR10). Intervenção: três condições em ordem aleatória: encorajamento verbal combinado com instrução técnica, só instrução técnica e controle sem instrução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Para PSE e Feeling Scale houve efeito de condição (F ≥ 9,2; p &lt; 0,001; ηp² = 0,32), de tempo (F ≥ 16,2; p &lt; 0,001; ηp² ≥ 0,46) e de interação (F ≥ 4,5; p ≤ 0,018; ηp² ≥ 0,19). A Feeling Scale foi maior na condição combinada que no controle durante a recuperação. Nas condições de instrução técnica e controle o escore caiu da recuperação para o pós-jogo, mas não na condição combinada.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Essid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 masculino; n.r. (título: jovens); elite/profissional (jovens de elite);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contrabalançada de três horários: 10h, 14h e 18h); n.r. (sessões de teste). Momento: antes dos testes físicos, em cada horário (10h, 14h e 18h)</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no resumo). Dimensões: ansiedade, raiva, confusão, depressão, fadiga, vigor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de Hooper; tempo de reação simples e de escolha; atenção seletiva (Stroop); RSA; velocidade de arremesso; temperatura oral. Intervenção: não se aplica (manipulação do horário do dia)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estados de humor negativos (ansiedade, raiva, confusão, depressão e fadiga) foram maiores pela manhã. O vigor foi maior à noite. O resumo não traz médias nem valores de p.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Lujic, Prskalo e Bratko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Croácia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407; n.r.; 13 a 14 anos (coortes nascidas em 2006 e 2007); formação/juvenil (clubes e escolas de handebol, treino ao menos 4 vezes por semana há pelo menos 1 ano);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vez, antes ou depois do treino nos clubes; o PANAS refere-se à última semana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(adaptação croata de Križanić, 16 itens, escala de 1 a 7).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com a vida (Life Satisfaction Scale); comparação com 349 adolescentes inativos.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handebolistas relataram mais afeto positivo que os inativos (4,71 ± 1,06 contra 4,24 ± 1,10; t = 6,07; p &lt; 0,001; d = 0,42). Os handebolistas relataram menos afeto negativo (2,82 ± 1,03 contra 3,37 ± 1,17; t = -6,95; p &lt; 0,001; d = 0,48). A satisfação com a vida também foi maior nos handebolistas (82,54 contra 75,02; d = 0,55).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Miralles-Amorós et al.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21; feminino; 22 ± 4 anos; elite/profissional (campeãs da Supercopa e da Copa da Rainha);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pré-temporada e início do período competitivo (agosto a novembro de 2022). Momento: três medidas: PRE (agosto de 2022), PER (meio da intervenção) e POST (novembro de 2022, semana 12)</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abreviado (30 itens, escala de 0 a 4). Dimensões: tensão, depressão, raiva, vigor, fadiga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comportamento alimentar (EAT-26), imagem corporal (BSQ), ingestão alimentar, peso, IMC, disponibilidade energética. Intervenção: plano alimentar personalizado por 12 semanas: dieta livre com recomendações (controle), dieta mediterrânea ou dieta rica em antioxidantes (7 atletas por grupo)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houve diferenças entre os planos alimentares em nenhuma dimensão do POMS, nem mudanças em vigor e fadiga. Tensão e raiva caíram em alguns grupos só nos testes post hoc sem correção (por exemplo, raiva na dieta rica em antioxidantes, PER para POST, p = 0,007), sem significância com Tukey ou Bonferroni. A depressão variou no tempo em todos os grupos, mas só duas comparações resistiram à correção (dieta livre PRE para PER, p = 0,041; dieta mediterrânea PER para POST, p = 0,040).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Ivanović e Ivanović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Sérvia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132; n.r.; 18,25 ± 0,90 anos no resumo; 18,25 ± 2,20 anos no método (faixa 17 a 21);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aplicação única durante treino regular, em fevereiro de 2023; o PANAS refere os últimos dias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sérvia, Mihić et al., 2014).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avaliação objetiva e subjetiva da saúde, solidão (DJGLS), satisfação com a vida (SWLS), depressão, ansiedade e estresse (DASS-21).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médias foram 15,08 ± 3,25 para afeto positivo e 7,05 ± 3,01 para afeto negativo. Na regressão múltipla, a solidão foi preditor significativo do afeto positivo (β = 0,29 com saúde objetiva; β = -0,32 com saúde subjetiva) e do afeto negativo (β = 0,27; β = -0,28). A avaliação subjetiva da saúde predisse o afeto positivo (β = -0,13) e interagiu com a solidão (β = 0,19). A saúde objetiva não predisse os afetos.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Morenas-Aguilar et al.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8; feminino; 19,8 ± 1,9 anos; amador;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início de cada sessão de teste, em três fases do ciclo menstrual (folicular inicial, folicular tardia, lútea média) em dois meses (seis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SAM (Self-Assessment Manikin), escala de valência. Dimensões: valência afetiva (estado de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altura do salto com contramovimento, velocidade de arremesso, dor percebida (EVA), fase do ciclo menstrual (calendário e LH urinário).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teste de Friedman não mostrou diferença na valência do SAM entre as fases do ciclo menstrual (p = 0,639). A dor percebida também não variou (p = 0,565). Médias e DP do SAM ficam na Tabela 1 e na Figura 1, ausentes do manuscrito aberto.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28; misto; 17,4 ± 2,08 anos (meninos 17,5 ± 2,4; meninas 17,3 ± 1,7);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(declarado pelos autores; grupos VEI e VEC); treinamento. Momento: antes e depois de cada uma das duas sessões de jogo 7x7 (o texto também cita aplicação logo após cada sessão)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BRUMS-24 (versão árabe). Dimensões: tensão, depressão, raiva, vigor, fadiga, confusão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habilidades técnico-táticas (bolas jogadas, conquistadas e perdidas, arremessos/gols, índices de conservação e defensivo); antropometria. Intervenção: encorajamento verbal individual do professor (VEI) contra encorajamento verbal coletivo durante o jogo (VEC), em duas sessões de jogos 7x7 de handebol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VEI gerou maior queda de depressão e fadiga que o VEC nos dois sexos (interação nos meninos: depressão F = 11,99, p = 0,002, η² = 0,31; fadiga F = 10,69, p = 0,003). Nos meninos do VEI, a depressão caiu de 6,35 ± 1,00 para 3,28 ± 1,54, contra 6,22 ± 1,42 para 5,42 ± 1,50 no VEC. O vigor subiu mais com VEI nos meninos (8,35 para 10,64; interação p = 0,010) e nas meninas (8,92 para 11,42; p = 0,015). Nas meninas, a confusão (η² = 0,55) e a raiva (η² = 0,34) também caíram mais com VEI (p = 0,001).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Akroush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Jordânia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76; masculino; n.r. (experiência: 59,2% com menos de 10 anos); nacional (liga jordaniana de handebol 2022/2023);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(descritivo); período competitivo (liga 2022/2023). Momento: n.r. (coleta durante a liga 2022/2023, em ginásios da competição)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Lista de padrões de humor para atletas (Allawi, 1998), 30 itens na origem e 20 itens na forma final. Dimensões: força dos processos de excitação, força dos processos de cessação (inibição), flexibilidade pessoal (mobilidade dos processos nervosos)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posição de jogo; tempo de experiência.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três padrões ficaram em nível alto: flexibilidade pessoal M = 2,37 ± 0,45, cessação M = 2,26 ± 0,37 e excitação M = 2,07 ± 0,34 (total M = 2,23 ± 0,29). A ANOVA de dois fatores não mostrou diferença por posição (F = 0,077; p = 0,926) nem por experiência (F = 0,432; p = 0,513).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21,9 ± 3,2 anos; amador (categoria regional máxima da Catalunha, Liga Catalana Sénior Femenina);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dos dois testes de campo aleatorizada) com monitoramento de 10 jogos oficiais; pré-temporada (testes de campo) e competição oficial. Momento: antes de cada teste de campo (YYIRT-1 e GBPT) e antes de cada um dos 10 jogos oficiais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Balaguer et al., 1993).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estresse percebido (PSS); PSE (Borg 6-20); FC máxima e média, zonas de FC; lactato; pressão arterial; balanço hídrico. Intervenção: não se aplica (comparação entre Yo-Yo IR1, Game-Based Performance Test e jogo oficial)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YYIRT-1 gerou perfil de humor mais negativo que o jogo: depressão 11,63 ± 10,90 contra 7,74 ± 8,47 (d = 0,18), fadiga 9,31 ± 6,23 contra 6,02 ± 4,28 (d = 0,30) e PTH 139,13 ± 29,94 contra 127,12 ± 23,01 (d = 0,22). O GBPT diferiu do jogo só por aumento trivial de vigor (12,56 ± 3,67 contra 10,78 ± 4,52; d = 0,17). Tensão, raiva, confusão e estresse percebido não diferiram.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Aydi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masculino; 13,81 ± 0,73 anos;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aula de educação física (jogo de passes com regras do handebol). Momento: antes e depois de cada jogo de passes, nas duas condições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 (Brunel Mood Scale, 24 itens); o texto também o chama de POMS.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FC média e %FCmáx, PSE (OMNI-RPE), prazer na atividade física (PACES), ações técnicas (passes certos, bolas perdidas, interceptações, gols). Intervenção: Jogo de passes 3 x 3 com dois coringas obesos (10 passes seguidos, regras do handebol, 4 x 3 min, campo de 20 x 10 m), com ou sem encorajamento verbal do professor, em ordem aleatória e contrabalançada, com uma semana de intervalo.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jogo com encorajamento verbal gerou maior variação de vigor (p = 0,01; ES = -1,51) e menor variação da PTH (p = 0,02; ES = 0,78) que o jogo sem encorajamento. Tensão, raiva, confusão, depressão e fadiga não diferiram entre condições (p &gt; 0,05). Médias e DP aparecem só na Figura 2; os dados individuais estão no arquivo S1.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Diachenko e Tyshchenko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Ucrânia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28; feminino; n.r. (adolescentes);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n.r. no resumo (antes e depois do programa, presumível)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SAN (bem-estar, atividade, humor). Dimensões: bem-estar, atividade,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ansiedade reativa e traço (teste de Spielberger-Khanin), observação pedagógica. Intervenção: Programa de harmonização do estado psicoemocional associado ao treino: exercícios psicofisiológicos, relaxamento respiratório, visualização, treino cognitivo-comportamental e apoio pedagógico individual; grupo experimental (n = 14) e controle (n = 14).</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grupo experimental teve melhora significativa de bem-estar, atividade e humor (até 38%) e redução da ansiedade reativa e traço (mais de 8 pontos). O grupo controle teve mudanças mínimas e não significativas. O resumo não traz médias, DP nem valores de p.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(2026)</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21,93 ± 3,25 anos; amador (categoria regional máxima da Catalunha);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dos testes de laboratório aleatorizada) com monitoramento de 10 jogos oficiais; laboratório (pré-temporada) e competição oficial. Momento: n.r. para o POMS (o PSS foi aplicado antes de cada teste e jogo; no Wingate e no cicloergômetro houve uma só medida para os dois testes)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estresse percebido (PSS-14); PSE (Borg 6-20 e CR-10); FC e zonas de FC; lactato; pressão arterial; balanço hídrico. Intervenção: não se aplica (comparação entre Wingate, rampa em cicloergômetro, teste em esteira e jogo oficial)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Wingate e cicloergômetro geraram mais fadiga que o jogo (7,69 ± 3,75 contra 6,02 ± 4,28; d = 0,16; p = 0,046). A esteira associou-se a maior vigor (13,31 ± 4,05 contra 10,78 ± 4,52; d = 0,23; p = 0,003). Tensão, depressão, raiva, confusão, PTH e estresse percebido não diferiram entre condições.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Ratz-Sulyok et al. (2026a)</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Hungria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584; misto; 14 a 35 anos; elite/profissional (seleções nacionais sub-17, sub-19, sub-21 e adulta; programa de talentos sub-15);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laboratório (avaliação na federação húngara, 2024-2025). Momento: avaliação única por entrevista estruturada no dia do exame laboratorial (referência: semana anterior)</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POMS-65. Dimensões: tensão, depressão, raiva, fadiga, confusão, vigor,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cortisol, testosterona e 17-β-estradiol salivares; estresse percebido (PSS-14); sintomas psicossomáticos (HBSC-SCL); idade.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PTH diminuiu com a idade nos dois sexos (Kruskal-Wallis p &lt; 0,001; η² = 0,033 nos homens e 0,101 nas mulheres); nos adultos, a mediana foi −1 (homens) e −2,5 (mulheres). A PTH não se associou aos hormônios nos modelos ajustados pela idade (todos p &gt; 0,05; ex.: cortisol nos homens F = 1,773, p = 0,175). No modelo multivariado dos homens, houve interação PSS × POMS sobre o perfil hormonal (F = 2,82; p = 0,026; η² parcial = 0,055).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Bugten et al. (2026)</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Noruega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50; feminino; 14,57 ± 1,03 anos (14 a 16);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cerca de 15 min antes e logo depois de 11 a 12 sessões de treino consecutivas, em quatro semanas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(Hardy; Rejeski, 1989), item único de -5 a +5, versão norueguesa adaptada. Dimensões: valência afetiva (prazer e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das necessidades psicológicas básicas (autonomia, competência, relação), prazer esportivo (item do SCQ), PlayerLoad e eventos de alta intensidade (&gt; 1,5 m/s²) por IMU.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prazer antes do treino predisse o prazer depois do treino (β = 0,55; IC95% 0,47 a 0,63). O prazer antes do treino associou-se à carga física (PlayerLoad) no treino (β = 0,14 a 0,17), e a carga associou-se ao prazer depois do treino (β = 0,09; IC95% 0,01 a 0,17). A autonomia antes do treino predisse o prazer depois (β = 0,09), e as necessidades básicas se correlacionaram com o prazer no mesmo momento (r = 0,36 a 0,43 antes do treino). Eventos de alta intensidade não se associaram às variáveis psicológicas.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Ratz-Sulyok et al. (2026b)</w:t>
            </w:r>
          </w:p>
        </w:tc>
        <w:tc>
          <w:tcPr>
            <w:tcW w:w="793"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Hungria</w:t>
            </w:r>
          </w:p>
        </w:tc>
        <w:tc>
          <w:tcPr>
            <w:tcW w:w="15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n = 584; misto; 14 a 35 anos; elite/profissional (seleções nacionais sub-17, sub-19, sub-21 e adulta; programa de talentos sub-15); quadra</w:t>
            </w:r>
          </w:p>
        </w:tc>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transversal; laboratório (avaliação na federação húngara, 2024-2025). Momento: avaliação única por entrevista estruturada no dia do exame laboratorial (referência: semana anterior)</w:t>
            </w:r>
          </w:p>
        </w:tc>
        <w:tc>
          <w:tcPr>
            <w:tcW w:w="15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POMS-65. Dimensões: tensão, depressão, raiva, fadiga, confusão, vigor, PTH</w:t>
            </w:r>
          </w:p>
        </w:tc>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cortisol, testosterona e 17-β-estradiol salivares; estresse percebido (PSS-14); sintomas psicossomáticos (HBSC-SCL); idade. Intervenção: não se aplica</w:t>
            </w:r>
          </w:p>
        </w:tc>
        <w:tc>
          <w:tcPr>
            <w:tcW w:w="3402"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Resumo de congresso da mesma amostra de 584 jogadores húngaros de elite; relata a relação entre o perfil de humor do POMS e os hormônios salivares de estresse e sexuais, sem dados adicionais aos do artigo completo. Fonte: resumo.</w:t>
            </w:r>
          </w:p>
        </w:tc>
        <w:tc>
          <w:tcPr>
            <w:tcW w:w="907" w:type="dxa"/>
            <w:tcBorders>
              <w:top w:val="single" w:sz="4" w:color="000000"/>
              <w:left w:val="single" w:sz="4" w:color="000000"/>
              <w:bottom w:val="single" w:sz="8"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8"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bl>
    <w:p>
      <w:pPr>
        <w:spacing w:before="40" w:after="0" w:line="240" w:lineRule="auto"/>
        <w:ind w:left="0" w:firstLine="0"/>
        <w:jc w:val="both"/>
      </w:pPr>
      <w:r>
        <w:rPr>
          <w:rFonts w:ascii="Times New Roman" w:hAnsi="Times New Roman"/>
          <w:i w:val="0"/>
          <w:sz w:val="20"/>
        </w:rPr>
        <w:t>Nota: n.r.: não relatado; qualidade: sim (+), incerto (?), não (−) nos itens Q1 a Q6 descritos na seção 2.6. A referência completa de cada estudo consta da lista de referências.</w:t>
      </w:r>
    </w:p>
    <w:p>
      <w:pPr>
        <w:spacing w:before="0" w:after="160" w:line="240" w:lineRule="auto"/>
        <w:ind w:left="0" w:firstLine="0"/>
        <w:jc w:val="left"/>
      </w:pPr>
      <w:r>
        <w:rPr>
          <w:rFonts w:ascii="Times New Roman" w:hAnsi="Times New Roman"/>
          <w:i w:val="0"/>
          <w:sz w:val="20"/>
        </w:rPr>
        <w:t>Fonte: elaborada pelos autores (2026).</w:t>
      </w:r>
    </w:p>
    <w:p>
      <w:pPr>
        <w:sectPr>
          <w:pgSz w:w="16838" w:h="11906" w:orient="landscape"/>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B – RELATÓRIOS EXCLUÍDOS NO TEXTO COMPLETO OU NÃO RECUPERADOS</w:t>
      </w:r>
    </w:p>
    <w:p>
      <w:pPr>
        <w:keepNext/>
        <w:spacing w:before="120" w:after="60" w:line="240" w:lineRule="auto"/>
        <w:ind w:left="0" w:firstLine="0"/>
        <w:jc w:val="both"/>
      </w:pPr>
      <w:r>
        <w:rPr>
          <w:rFonts w:ascii="Times New Roman" w:hAnsi="Times New Roman"/>
          <w:b/>
          <w:sz w:val="20"/>
        </w:rPr>
        <w:t>Quadro B1</w:t>
      </w:r>
      <w:r>
        <w:rPr>
          <w:rFonts w:ascii="Times New Roman" w:hAnsi="Times New Roman"/>
          <w:i w:val="0"/>
          <w:sz w:val="20"/>
        </w:rPr>
        <w:t xml:space="preserve"> – Relatórios reavaliados no texto completo e excluídos ou não recuperados, com o motivo</w:t>
      </w:r>
    </w:p>
    <w:tbl>
      <w:tblPr>
        <w:jc w:val="center"/>
        <w:tblLayout w:type="fixed"/>
        <w:tblLook w:firstColumn="1" w:firstRow="1" w:lastColumn="0" w:lastRow="0" w:noHBand="0" w:noVBand="1" w:val="04A0"/>
        <w:tblW w:w="14004" w:type="dxa"/>
        <w:tblLayout w:type="fixed"/>
      </w:tblPr>
      <w:tblGrid>
        <w:gridCol w:w="1927"/>
        <w:gridCol w:w="6690"/>
        <w:gridCol w:w="5386"/>
      </w:tblGrid>
      <w:tr>
        <w:trPr>
          <w:tblHeader w:val="true"/>
        </w:trPr>
        <w:tc>
          <w:tcPr>
            <w:tcW w:w="1927"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Registro</w:t>
            </w:r>
          </w:p>
        </w:tc>
        <w:tc>
          <w:tcPr>
            <w:tcW w:w="6690"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Referência recuperada</w:t>
            </w:r>
          </w:p>
        </w:tc>
        <w:tc>
          <w:tcPr>
            <w:tcW w:w="5386"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Motivo da exclusão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Johnson et al. (2001)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JOHNSON et al. (2001). Referência completa não localizada (título, revista e DOI n.r.).</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Identificado na atualização como resumo de congresso (ISSP, 2001), estudo de caso sem versão aberta; não recuperado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Hemmatinezhad et al. (2012)</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HEMMATINEZHAD, M. A.; RAMAZANINEZHAD, R.; GHEZELSEFLOO, H. et al. Relationship between emotional intelligence and athlete's mood with team-efficiency and performance in elite handball players. International Journal of Sport Studies, v. 2, n. 3, p. 155-162, 201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Identificado na atualização (International Journal of Sport Studies, 2012), sem resumo nem texto aberto; não recuperado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Hazar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HAZAR (2013). Referência completa não localizada (título, revista e DOI n.r.).</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Mede apenas a raiva estado-traço (STAS), fora do conceito de humor do protocolo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Laborde e Raab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LABORDE, S.; RAAB, M. The tale of hearts and reason: the influence of mood on decision making. Journal of Sport and Exercise Psychology, v. 35, n. 4, p. 339-357, 2013. DOI: https://doi.org/10.1123/jsep.35.4.339.</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Humor induzido sem instrumento nomeado; parte da amostra não praticava handebol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Karcher, Ahmaidi e Buchheit (2014)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KARCHER, C.; AHMAIDI, S.; BUCHHEIT, M. Body dimensions of elite handball players with respect to laterality, playing positions and playing standard. Journal of Athletic Enhancement, v. 3, n. 4, 2014. DOI: https://doi.org/10.4172/2324-9080.1000160.</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identificador digital corresponde a estudo sobre estatura e massa corporal, sem medida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Fadilah e Wibowo (2018)</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FADILAH, M.; WIBOWO, R. Kontribusi keterampilan gerak fundamental terhadap keterampilan bermain small-sided handball games. Jurnal Pendidikan Jasmani dan Olahraga, v. 3, n. 1, p. 60, 2018. DOI: https://doi.org/10.17509/jpjo.v3i1.7667.</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identificador digital corresponde a estudo sobre habilidades motoras de escolares, sem medida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Ivanović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n.r. (referência completa não localizada)</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Não localizado: sem título, identificador ou periódico verificáveis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et al.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J. B. et al. Youth Sport Players’ Enjoyment in Team Practice Sessions: The Daily Impact of Coaches and Basic Psychological Need Satisfaction. Journal of Sport and Exercise Psychology, v. 48, n. 5, p. 315-323, 2026. DOI: https://doi.org/10.1123/jsep.202</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artigo publicado mede apenas o prazer esportivo; a escala de afeto aparece somente no preprint</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Skarbalius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SKARBALIUS, A. Integrated monitoring of training and sport performance throughout an entire handball season: practical applications in semi-professional female players. Frontiers in Sports and Active Living, v. 8, 2026. DOI: https://doi.org/10.3389/fspor.2026.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Humor medido por item único de questionário de bem-estar, equivalente ao índice de Hooper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Simonelli et al.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SIMONELLI, C. et al. Physiological and psychological assessment of high-intensity interval training, full-sided and small-sided games in elite handball players. International Journal of Performance Analysis in Sport, v. 26, n. 5, p. 1115-1126, 2026. DOI: https</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Escala de distresse de treino sem dimensão de humor relatada no material acessível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Barbry et al. (2021)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BARBRY, A. et al. Is football or badminton associated with more positive affect? The links between affects and sports club membership among French adolescents. Frontiers in Psychology, v. 12, 735189, 2021. DOI: https://doi.org/10.3389/fpsyg.2021.735189</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afeto medido por 12 adjetivos, sem nome nem validação do instrumento; n do handebol não relatado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Mubarak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MUBARAK, E. J. Special resistance exercises for deception and accuracy of shooting and their impact on the emotional response of handball players. Modern Sport, v. 12, n. 20, p. 1-38, 2013. DOI: https://doi.org/10.54702/2708-3454.1372</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o resumo descreve jogadoras de voleibol; resposta emocional sem instrumento nomeado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Bauer et al. (2024)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BAUER, J. et al. Interaction between the leg recovery test and subjective measures of fatigue in handball players: short-, mid-, and long-term assessment. Frontiers in Sports and Active Living, v. 6, 1474385, 2024. DOI: https://doi.org/10.3389/fspor.2024.1474385</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escala curta de recuperação e estresse (KEB), não instrumento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Erden e Emirzeoğlu (2020)</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ERDEN, A.; EMIRZEOĞLU, M. Investigation of body awareness level and performance emotional status of athletes in different branches of sports. Journal of Sport Rehabilitation, v. 29, n. 1, p. 23-27, 2020. DOI: https://doi.org/10.1123/jsr.2018-0334</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escala de estado emocional de desempenho (COPES-2), não instrumento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Suárez Iglesias et al.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SUÁREZ IGLESIAS, D. et al. The impact of COVID-19 on healthy habits and psychological well-being of Chilean female handball players. E-balonmano.com: Journal of Sports Science, v. 19, n. 1, p. 1-12, 2023. DOI: https://doi.org/10.17398/1885-7019.19.1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recuperado (acesso bloqueado); instrumento de bem-estar não identificável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Bougrine et al.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BOUGRINE, H. et al. Does Ramadan intermittent fasting affect the intraday variations of cognitive and high-intensity short-term maximal performances in young female handball players? Biological Rhythm Research, v. 54, n. 4, p. 399-418, 2023. DOI: https://doi.org/10.1080/09291016.2023.2198794</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recuperado (texto sob assinatura e sem resumo); medida de humor não identificável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Lira et al. (2017)</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LIRA, H. A. et al. O estado de humor e a insatisfação corporal possuem relação com os comportamentos de risco para transtornos alimentares em atletas de esportes coletivos do sexo masculino? </w:t>
            </w:r>
            <w:r>
              <w:rPr>
                <w:rFonts w:ascii="Times New Roman" w:hAnsi="Times New Roman"/>
                <w:b/>
                <w:sz w:val="16"/>
              </w:rPr>
              <w:t>Revista Brasileira de Ciência e Movimento</w:t>
            </w:r>
            <w:r>
              <w:rPr>
                <w:rFonts w:ascii="Times New Roman" w:hAnsi="Times New Roman"/>
                <w:i w:val="0"/>
                <w:sz w:val="16"/>
              </w:rPr>
              <w:t>, v. 25, n. 3, p. 89, 2017. DOI: https://doi.org/10.31501/rbcm.v25i3.7778</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é handebol / dados não separáveis: BRUMS aplicada a futebol (36), basquete (18) e handebol (16), com correlações só para a amostra conjunta (resumo e monografia do mesmo estudo, UFPE). O DOI e o link da revista levam a outro artigo; PDF da versão publicada não acessado.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Korobeinikova et al. (2025)</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KOROBEINIKOVA, L. et al. Gender features of psychophysiological state in handball players. </w:t>
            </w:r>
            <w:r>
              <w:rPr>
                <w:rFonts w:ascii="Times New Roman" w:hAnsi="Times New Roman"/>
                <w:b/>
                <w:sz w:val="16"/>
              </w:rPr>
              <w:t>Health, Sport, Rehabilitation</w:t>
            </w:r>
            <w:r>
              <w:rPr>
                <w:rFonts w:ascii="Times New Roman" w:hAnsi="Times New Roman"/>
                <w:i w:val="0"/>
                <w:sz w:val="16"/>
              </w:rPr>
              <w:t>, v. 11, n. 4, p. 6-16, 2025. DOI: https://doi.org/10.58962/HSR.2025.1276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mede humor por instrumento declarado: estado psicoemocional avaliado pelo teste de cores de Lüscher (teste projetivo), não por escala de humor ou afeto.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Ravier et al. (2019)</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RAVIER, G. et al. Physiological and affective responses of 30s-30s intermittent small-sided game in elite handball players: a new alternative to intermittent running. </w:t>
            </w:r>
            <w:r>
              <w:rPr>
                <w:rFonts w:ascii="Times New Roman" w:hAnsi="Times New Roman"/>
                <w:b/>
                <w:sz w:val="16"/>
              </w:rPr>
              <w:t>Journal of Human Sport and Exercise</w:t>
            </w:r>
            <w:r>
              <w:rPr>
                <w:rFonts w:ascii="Times New Roman" w:hAnsi="Times New Roman"/>
                <w:i w:val="0"/>
                <w:sz w:val="16"/>
              </w:rPr>
              <w:t>, v. 14, n. 3, 2019. DOI: https://doi.org/10.14198/jhse.2019.143.05</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mede humor por instrumento declarado: prazer avaliado na escala CR-10 de Borg e balanço afetivo calculado como PSE menos prazer; prazer isolado, sem escala de humor ou afeto validada.</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Batista et al. (2019)</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BATISTA, M. et al. Practice motivation and life satisfaction of athletes of team sports: comparative study between adapted and regular sport. </w:t>
            </w:r>
            <w:r>
              <w:rPr>
                <w:rFonts w:ascii="Times New Roman" w:hAnsi="Times New Roman"/>
                <w:b/>
                <w:sz w:val="16"/>
              </w:rPr>
              <w:t>Journal of Human Sport and Exercise</w:t>
            </w:r>
            <w:r>
              <w:rPr>
                <w:rFonts w:ascii="Times New Roman" w:hAnsi="Times New Roman"/>
                <w:i w:val="0"/>
                <w:sz w:val="16"/>
              </w:rPr>
              <w:t>, v. 14, n. Proc1, 2019. DOI: https://doi.org/10.14198/jhse.2019.14.proc1.03</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é handebol / dados não separáveis: PANAS em atletas de handebol e basquetebol (adaptado e regular) analisados em conjunto, sem resultados do handebol.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Kashapov, Ogorodova e Filippovich (2018)</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KASHAPOV, M.; OGORODOVA, T. V.; FILIPPOVICH, K. N. Types of reaction in conflict and their relation to dominant mental state of athletes. </w:t>
            </w:r>
            <w:r>
              <w:rPr>
                <w:rFonts w:ascii="Times New Roman" w:hAnsi="Times New Roman"/>
                <w:b/>
                <w:sz w:val="16"/>
              </w:rPr>
              <w:t>Vestnik of Saint Petersburg University. Psychology</w:t>
            </w:r>
            <w:r>
              <w:rPr>
                <w:rFonts w:ascii="Times New Roman" w:hAnsi="Times New Roman"/>
                <w:i w:val="0"/>
                <w:sz w:val="16"/>
              </w:rPr>
              <w:t>, v. 8, n. 2, 2018. DOI: https://doi.org/10.21638/11701/spbu16.2018.206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outro idioma (não inglês, português, espanhol): artigo em russo (metadado dc.language.iso = ru do repositório SPbU); amostra multiesporte e instrumento de estado mental n.r. no resumo. PDF não acessado (repositório fora do ar).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Bursik et al. (2024)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BURSIK, J. et al. Risk profiles for self-medication with analgesics among elite German handball players. International Review for the Sociology of Sport, 2024. DOI: https://doi.org/10.1177/10126902241280156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(texto bloqueado): afetividade negativa como traço, sem escala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Klatt et al. (2021)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KLATT, S. et al. Performance changes and recovery time in U20 and older handball players after a high-intensity sprint exercise. Applied Sciences, 2021. DOI: https://doi.org/10.3390/app11115301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mede esforço percebido, dor muscular e estresse, sem escala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Tese no Dialnet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Factores físicos y psicológicos relacionados con la inestabilidad crónica de tobillo en jugadores de balonmano de categorías inferiores. Tese, 2023. Registro no Dialnet</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ansiedade, personalidade, depressão e cinesiofobia, sem escala de humor</w:t>
            </w:r>
          </w:p>
        </w:tc>
      </w:tr>
      <w:tr>
        <w:tc>
          <w:tcPr>
            <w:tcW w:w="1927"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Abbas, Zeghair e Hasan (2021)</w:t>
            </w:r>
          </w:p>
        </w:tc>
        <w:tc>
          <w:tcPr>
            <w:tcW w:w="6690"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ABBAS, K. H.; ZEGHAIR, H. O.; HASAN, O. N. Analytical study on the effectiveness of psychological health among handball players of the premium class. 2021</w:t>
            </w:r>
          </w:p>
        </w:tc>
        <w:tc>
          <w:tcPr>
            <w:tcW w:w="5386"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Atualização: não recuperado; sem resumo, DOI ou texto localizado e sem indicação de instrumento de humor</w:t>
            </w:r>
          </w:p>
        </w:tc>
      </w:tr>
    </w:tbl>
    <w:p>
      <w:pPr>
        <w:spacing w:before="40" w:after="160" w:line="240" w:lineRule="auto"/>
        <w:ind w:left="0" w:firstLine="0"/>
        <w:jc w:val="left"/>
      </w:pPr>
      <w:r>
        <w:rPr>
          <w:rFonts w:ascii="Times New Roman" w:hAnsi="Times New Roman"/>
          <w:i w:val="0"/>
          <w:sz w:val="20"/>
        </w:rPr>
        <w:t>Fonte: elaborada pelos autores (2026).</w:t>
      </w:r>
    </w:p>
    <w:sectPr w:rsidR="00FC693F" w:rsidRPr="0006063C" w:rsidSect="00034616">
      <w:pgSz w:w="16838" w:h="11906" w:orient="landscape"/>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sz w:val="20"/>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