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22438"/>
          <w:sz w:val="30"/>
          <w:szCs w:val="30"/>
        </w:rPr>
        <w:t xml:space="preserve">CARTA DE APRESENTAÇÃO</w:t>
      </w:r>
    </w:p>
    <w:p>
      <w:pPr>
        <w:pBdr>
          <w:bottom w:val="single" w:color="0E8C86" w:sz="8"/>
        </w:pBdr>
        <w:spacing w:after="22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[Cidade], [dia] de [mês] de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À Editoria da revista [Nome do Periódico]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A/C Editor(a)-Chefe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Prezado(a) Editor(a),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Submetemos à apreciação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[Nome do Periódico]</w:t>
      </w:r>
      <w:r>
        <w:rPr>
          <w:rFonts w:ascii="Calibri" w:cs="Calibri" w:eastAsia="Calibri" w:hAnsi="Calibri"/>
          <w:sz w:val="22"/>
          <w:szCs w:val="22"/>
        </w:rPr>
        <w:t xml:space="preserve"> o manuscrito intitulado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"Resposta do estado de humor a um microciclo de treinamento intervalado de alta intensidade (HIIT) em atletas de handebol de elite: um estudo observacional de medidas repetidas"</w:t>
      </w:r>
      <w:r>
        <w:rPr>
          <w:rFonts w:ascii="Calibri" w:cs="Calibri" w:eastAsia="Calibri" w:hAnsi="Calibri"/>
          <w:sz w:val="22"/>
          <w:szCs w:val="22"/>
        </w:rPr>
        <w:t xml:space="preserve">, para consideração como artigo original.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estudo acompanhou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27 atletas de handebol de elite</w:t>
      </w:r>
      <w:r>
        <w:rPr>
          <w:rFonts w:ascii="Calibri" w:cs="Calibri" w:eastAsia="Calibri" w:hAnsi="Calibri"/>
          <w:sz w:val="22"/>
          <w:szCs w:val="22"/>
        </w:rPr>
        <w:t xml:space="preserve"> ao longo de um microciclo de sete dias com três sessões de HIIT, monitorando o estado de humor pela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Escala de Humor de Brunel (BRUMS)</w:t>
      </w:r>
      <w:r>
        <w:rPr>
          <w:rFonts w:ascii="Calibri" w:cs="Calibri" w:eastAsia="Calibri" w:hAnsi="Calibri"/>
          <w:sz w:val="22"/>
          <w:szCs w:val="22"/>
        </w:rPr>
        <w:t xml:space="preserve"> e a carga interna por frequência cardíaca e percepção subjetiva de esforço. Diferentemente da maior parte da literatura de monitoramento, a análise tratou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atleta como unidade</w:t>
      </w:r>
      <w:r>
        <w:rPr>
          <w:rFonts w:ascii="Calibri" w:cs="Calibri" w:eastAsia="Calibri" w:hAnsi="Calibri"/>
          <w:sz w:val="22"/>
          <w:szCs w:val="22"/>
        </w:rPr>
        <w:t xml:space="preserve"> — modelos de efeitos mistos com correção de pseudorreplicação e da taxa de falsa descoberta —, garantindo inferência estatística apropriada para dados aninhados de medidas repetidas.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principais achados são: (1) a resposta aguda ao HIIT 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seletiva e ancorada no eixo energia–fadiga</w:t>
      </w:r>
      <w:r>
        <w:rPr>
          <w:rFonts w:ascii="Calibri" w:cs="Calibri" w:eastAsia="Calibri" w:hAnsi="Calibri"/>
          <w:sz w:val="22"/>
          <w:szCs w:val="22"/>
        </w:rPr>
        <w:t xml:space="preserve"> — a fadiga física é o marcador-sentinela (d</w:t>
      </w:r>
      <w:r>
        <w:rPr>
          <w:rFonts w:ascii="Calibri" w:cs="Calibri" w:eastAsia="Calibri" w:hAnsi="Calibri"/>
          <w:sz w:val="16"/>
          <w:szCs w:val="16"/>
          <w:vertAlign w:val="subscript"/>
        </w:rPr>
        <w:t xml:space="preserve">z</w:t>
      </w:r>
      <w:r>
        <w:rPr>
          <w:rFonts w:ascii="Calibri" w:cs="Calibri" w:eastAsia="Calibri" w:hAnsi="Calibri"/>
          <w:sz w:val="22"/>
          <w:szCs w:val="22"/>
        </w:rPr>
        <w:t xml:space="preserve"> ≈ 1,0; único com AUC ≥ 0,70), com queda concomitante de vigor, enquanto o afeto negativo permanece estável (com evidência bayesiana de equivalência); (2) a resposta 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fortemente individual</w:t>
      </w:r>
      <w:r>
        <w:rPr>
          <w:rFonts w:ascii="Calibri" w:cs="Calibri" w:eastAsia="Calibri" w:hAnsi="Calibri"/>
          <w:sz w:val="22"/>
          <w:szCs w:val="22"/>
        </w:rPr>
        <w:t xml:space="preserve"> (coeficientes de correlação intraclasse de 0,4 a 0,7; R² condicional muito superior ao marginal); e (3) o humor 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desacoplado da carga interna</w:t>
      </w:r>
      <w:r>
        <w:rPr>
          <w:rFonts w:ascii="Calibri" w:cs="Calibri" w:eastAsia="Calibri" w:hAnsi="Calibri"/>
          <w:sz w:val="22"/>
          <w:szCs w:val="22"/>
        </w:rPr>
        <w:t xml:space="preserve"> — nem a frequência cardíaca, nem a PSE, nem o TRIMP predizem a resposta aguda —, indicando que o BRUMS mede uma dimensão complementar, e não redundante, aos marcadores fisiológicos.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conclusões são sustentadas por uma bateria analítica ampla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inteiramente reproduzível por código</w:t>
      </w:r>
      <w:r>
        <w:rPr>
          <w:rFonts w:ascii="Calibri" w:cs="Calibri" w:eastAsia="Calibri" w:hAnsi="Calibri"/>
          <w:sz w:val="22"/>
          <w:szCs w:val="22"/>
        </w:rPr>
        <w:t xml:space="preserve"> (análise fatorial confirmatória, invariância de medida, teoria de resposta ao item, fatores de Bayes, curvas ROC, TRIMP de Banister, modelos preditivos com validação leave-one-athlete-out e verificações de robustez por permutação e transformação). Todas as figuras e tabelas são geradas a partir da coleta bruta por um pipeline automatizado, e os achados sobrevivem a testes paramétricos e não-paramétricos, à transformação logarítmica e à exclusão de casos influentes.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Do ponto de vista aplicado, o trabalho oferece uma recomendação concreta de monitoramento: acompanhar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fadiga física</w:t>
      </w:r>
      <w:r>
        <w:rPr>
          <w:rFonts w:ascii="Calibri" w:cs="Calibri" w:eastAsia="Calibri" w:hAnsi="Calibri"/>
          <w:sz w:val="22"/>
          <w:szCs w:val="22"/>
        </w:rPr>
        <w:t xml:space="preserve"> e o eixo vigor–fadiga por tendência individual, com o humor como camada complementar à carga fisiológica. Uma contribuição psicométrica adicional é a identificação de que o item de sonolência do BRUMS se comporta de forma oposta aos demais itens de fadiga no plano agudo (o exercício reduz a sonolência ao ativar), sugerindo tratá-lo à parte da subescala.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Declaramos que: o manuscrito é original e não foi publicado nem está sob avaliação em outro periódico; todos os autores leram e aprovaram a versão submetida e concordam com a submissão; não há conflitos de interesse a declarar; e o estudo foi conduzido em conformidade com a Declaração de Helsinque, com aprovação do Comitê de Ética em Pesquisa [nº do parecer] e consentimento livre e esclarecido de todos os participantes. Os dados foram anonimizados e as bases identificáveis não são compartilhadas publicamente.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Sugerimos que o manuscrito se enquadra no escopo do periódico por unir monitoramento psicológico e fisiológico da carga em atletas de elite com rigor metodológico e reprodutibilidade. Agradecemos a atenção e permanecemos à disposição para os esclarecimentos que se fizerem necessários.</w:t>
      </w:r>
    </w:p>
    <w:p>
      <w:pPr>
        <w:spacing w:after="20" w:before="200"/>
      </w:pPr>
      <w:r>
        <w:rPr>
          <w:rFonts w:ascii="Calibri" w:cs="Calibri" w:eastAsia="Calibri" w:hAnsi="Calibri"/>
          <w:sz w:val="22"/>
          <w:szCs w:val="22"/>
        </w:rPr>
        <w:t xml:space="preserve">Atenciosamente,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[Nome do autor correspondente]</w:t>
      </w:r>
    </w:p>
    <w:p>
      <w:pPr>
        <w:spacing w:after="0"/>
      </w:pPr>
      <w:r>
        <w:rPr>
          <w:rFonts w:ascii="Calibri" w:cs="Calibri" w:eastAsia="Calibri" w:hAnsi="Calibri"/>
          <w:color w:val="5B6B82"/>
          <w:sz w:val="20"/>
          <w:szCs w:val="20"/>
        </w:rPr>
        <w:t xml:space="preserve">[Afiliação] · [e-mail] · [ORCID]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5B6B82"/>
          <w:sz w:val="20"/>
          <w:szCs w:val="20"/>
        </w:rPr>
        <w:t xml:space="preserve">em nome de todos os coautores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2026-07-31T18:31:57.025Z</dcterms:created>
  <dcterms:modified xsi:type="dcterms:W3CDTF">2026-07-31T18:31:57.040Z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